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2FF" w:rsidRDefault="00B5031F">
      <w:pPr>
        <w:rPr>
          <w:b/>
          <w:bCs/>
          <w:sz w:val="24"/>
          <w:szCs w:val="24"/>
        </w:rPr>
      </w:pPr>
      <w:r>
        <w:rPr>
          <w:rFonts w:cs="Arial"/>
          <w:sz w:val="24"/>
          <w:szCs w:val="24"/>
          <w:lang w:val="en-CA"/>
        </w:rPr>
        <w:fldChar w:fldCharType="begin"/>
      </w:r>
      <w:r w:rsidR="00F302FF">
        <w:rPr>
          <w:rFonts w:cs="Arial"/>
          <w:sz w:val="24"/>
          <w:szCs w:val="24"/>
          <w:lang w:val="en-CA"/>
        </w:rPr>
        <w:instrText xml:space="preserve"> SEQ CHAPTER \h \r 1</w:instrText>
      </w:r>
      <w:r>
        <w:rPr>
          <w:rFonts w:cs="Arial"/>
          <w:sz w:val="24"/>
          <w:szCs w:val="24"/>
          <w:lang w:val="en-CA"/>
        </w:rPr>
        <w:fldChar w:fldCharType="end"/>
      </w:r>
      <w:r w:rsidR="00F302FF">
        <w:rPr>
          <w:b/>
          <w:bCs/>
          <w:sz w:val="24"/>
          <w:szCs w:val="24"/>
        </w:rPr>
        <w:t xml:space="preserve">West Virginia State University </w:t>
      </w:r>
      <w:r w:rsidR="00F302FF">
        <w:rPr>
          <w:b/>
          <w:bCs/>
          <w:sz w:val="24"/>
          <w:szCs w:val="24"/>
        </w:rPr>
        <w:tab/>
      </w:r>
      <w:r w:rsidR="00F302FF">
        <w:rPr>
          <w:b/>
          <w:bCs/>
          <w:sz w:val="24"/>
          <w:szCs w:val="24"/>
        </w:rPr>
        <w:tab/>
      </w:r>
      <w:r w:rsidR="00F302FF">
        <w:rPr>
          <w:b/>
          <w:bCs/>
          <w:sz w:val="24"/>
          <w:szCs w:val="24"/>
        </w:rPr>
        <w:tab/>
        <w:t>Friday</w:t>
      </w:r>
      <w:r w:rsidR="00096DB7">
        <w:rPr>
          <w:b/>
          <w:bCs/>
          <w:sz w:val="24"/>
          <w:szCs w:val="24"/>
        </w:rPr>
        <w:t xml:space="preserve">, </w:t>
      </w:r>
      <w:r w:rsidR="00A56D83">
        <w:rPr>
          <w:b/>
          <w:bCs/>
          <w:sz w:val="24"/>
          <w:szCs w:val="24"/>
        </w:rPr>
        <w:t>November 7</w:t>
      </w:r>
      <w:r w:rsidR="00096DB7">
        <w:rPr>
          <w:b/>
          <w:bCs/>
          <w:sz w:val="24"/>
          <w:szCs w:val="24"/>
        </w:rPr>
        <w:t>, 2008</w:t>
      </w:r>
    </w:p>
    <w:p w:rsidR="00F302FF" w:rsidRDefault="00F302FF">
      <w:pPr>
        <w:rPr>
          <w:b/>
          <w:bCs/>
          <w:sz w:val="24"/>
          <w:szCs w:val="24"/>
        </w:rPr>
      </w:pPr>
      <w:r>
        <w:rPr>
          <w:b/>
          <w:bCs/>
          <w:sz w:val="24"/>
          <w:szCs w:val="24"/>
        </w:rPr>
        <w:t>Academic A</w:t>
      </w:r>
      <w:r w:rsidR="003000A4">
        <w:rPr>
          <w:b/>
          <w:bCs/>
          <w:sz w:val="24"/>
          <w:szCs w:val="24"/>
        </w:rPr>
        <w:t>ffairs</w:t>
      </w:r>
      <w:r w:rsidR="003000A4">
        <w:rPr>
          <w:b/>
          <w:bCs/>
          <w:sz w:val="24"/>
          <w:szCs w:val="24"/>
        </w:rPr>
        <w:tab/>
      </w:r>
      <w:r w:rsidR="003000A4">
        <w:rPr>
          <w:b/>
          <w:bCs/>
          <w:sz w:val="24"/>
          <w:szCs w:val="24"/>
        </w:rPr>
        <w:tab/>
      </w:r>
      <w:r w:rsidR="003000A4">
        <w:rPr>
          <w:b/>
          <w:bCs/>
          <w:sz w:val="24"/>
          <w:szCs w:val="24"/>
        </w:rPr>
        <w:tab/>
      </w:r>
      <w:r w:rsidR="003000A4">
        <w:rPr>
          <w:b/>
          <w:bCs/>
          <w:sz w:val="24"/>
          <w:szCs w:val="24"/>
        </w:rPr>
        <w:tab/>
      </w:r>
      <w:r w:rsidR="003000A4">
        <w:rPr>
          <w:b/>
          <w:bCs/>
          <w:sz w:val="24"/>
          <w:szCs w:val="24"/>
        </w:rPr>
        <w:tab/>
        <w:t>R. Charles Byers, Ph</w:t>
      </w:r>
      <w:r>
        <w:rPr>
          <w:b/>
          <w:bCs/>
          <w:sz w:val="24"/>
          <w:szCs w:val="24"/>
        </w:rPr>
        <w:t>D.</w:t>
      </w:r>
    </w:p>
    <w:p w:rsidR="00F302FF" w:rsidRDefault="00F302FF">
      <w:pPr>
        <w:rPr>
          <w:sz w:val="24"/>
          <w:szCs w:val="24"/>
        </w:rPr>
      </w:pPr>
      <w:r>
        <w:rPr>
          <w:b/>
          <w:bCs/>
          <w:sz w:val="24"/>
          <w:szCs w:val="24"/>
        </w:rPr>
        <w:t>Faculty Senate Report</w:t>
      </w:r>
      <w:r>
        <w:rPr>
          <w:sz w:val="36"/>
          <w:szCs w:val="36"/>
        </w:rPr>
        <w:tab/>
      </w:r>
      <w:r>
        <w:rPr>
          <w:sz w:val="36"/>
          <w:szCs w:val="36"/>
        </w:rPr>
        <w:tab/>
      </w:r>
      <w:r>
        <w:rPr>
          <w:sz w:val="36"/>
          <w:szCs w:val="36"/>
        </w:rPr>
        <w:tab/>
      </w:r>
      <w:r>
        <w:rPr>
          <w:sz w:val="36"/>
          <w:szCs w:val="36"/>
        </w:rPr>
        <w:tab/>
      </w:r>
      <w:r>
        <w:rPr>
          <w:b/>
          <w:bCs/>
          <w:sz w:val="24"/>
          <w:szCs w:val="24"/>
        </w:rPr>
        <w:t>Vice President</w:t>
      </w:r>
      <w:r w:rsidR="00096DB7">
        <w:rPr>
          <w:b/>
          <w:bCs/>
          <w:sz w:val="24"/>
          <w:szCs w:val="24"/>
        </w:rPr>
        <w:t xml:space="preserve"> for Academic </w:t>
      </w:r>
      <w:r w:rsidR="0049236A">
        <w:rPr>
          <w:b/>
          <w:bCs/>
          <w:sz w:val="24"/>
          <w:szCs w:val="24"/>
        </w:rPr>
        <w:t>Affairs</w:t>
      </w:r>
    </w:p>
    <w:p w:rsidR="00F302FF" w:rsidRDefault="00F302FF">
      <w:pPr>
        <w:rPr>
          <w:sz w:val="24"/>
          <w:szCs w:val="24"/>
        </w:rPr>
      </w:pPr>
    </w:p>
    <w:p w:rsidR="00367531" w:rsidRDefault="00367531">
      <w:pPr>
        <w:rPr>
          <w:sz w:val="24"/>
          <w:szCs w:val="24"/>
        </w:rPr>
      </w:pPr>
    </w:p>
    <w:p w:rsidR="0098386D" w:rsidRDefault="00F302FF" w:rsidP="00367531">
      <w:pPr>
        <w:jc w:val="both"/>
        <w:rPr>
          <w:sz w:val="24"/>
          <w:szCs w:val="24"/>
        </w:rPr>
      </w:pPr>
      <w:r>
        <w:rPr>
          <w:b/>
          <w:bCs/>
          <w:sz w:val="24"/>
          <w:szCs w:val="24"/>
        </w:rPr>
        <w:t xml:space="preserve">Academic Affairs Council </w:t>
      </w:r>
      <w:r w:rsidR="00A56D83">
        <w:rPr>
          <w:sz w:val="24"/>
          <w:szCs w:val="24"/>
        </w:rPr>
        <w:t xml:space="preserve">met on October 21, 2008.  Reports on plans and progress were received.  The academic deans were attending </w:t>
      </w:r>
      <w:r w:rsidR="005D0202">
        <w:rPr>
          <w:sz w:val="24"/>
          <w:szCs w:val="24"/>
        </w:rPr>
        <w:t xml:space="preserve">the </w:t>
      </w:r>
      <w:r w:rsidR="00A56D83">
        <w:rPr>
          <w:sz w:val="24"/>
          <w:szCs w:val="24"/>
        </w:rPr>
        <w:t>Create West Virginia and the Diversity Conference</w:t>
      </w:r>
      <w:r w:rsidR="005D0202">
        <w:rPr>
          <w:sz w:val="24"/>
          <w:szCs w:val="24"/>
        </w:rPr>
        <w:t>s</w:t>
      </w:r>
      <w:r w:rsidR="00A56D83">
        <w:rPr>
          <w:sz w:val="24"/>
          <w:szCs w:val="24"/>
        </w:rPr>
        <w:t>.</w:t>
      </w:r>
    </w:p>
    <w:p w:rsidR="00367531" w:rsidRDefault="00367531" w:rsidP="00367531">
      <w:pPr>
        <w:jc w:val="both"/>
        <w:rPr>
          <w:sz w:val="24"/>
          <w:szCs w:val="24"/>
        </w:rPr>
      </w:pPr>
    </w:p>
    <w:p w:rsidR="00A56D83" w:rsidRDefault="003000A4" w:rsidP="00367531">
      <w:pPr>
        <w:jc w:val="both"/>
        <w:rPr>
          <w:sz w:val="24"/>
          <w:szCs w:val="24"/>
        </w:rPr>
      </w:pPr>
      <w:r w:rsidRPr="00367531">
        <w:rPr>
          <w:sz w:val="24"/>
          <w:szCs w:val="24"/>
          <w:u w:val="single"/>
        </w:rPr>
        <w:t>Registration</w:t>
      </w:r>
      <w:r>
        <w:rPr>
          <w:sz w:val="24"/>
          <w:szCs w:val="24"/>
        </w:rPr>
        <w:t xml:space="preserve"> for the Spring Semester started on November 3, 2008.  Ms. Hunter and Mrs. Jarvis attended a national meeting for veterans.  There will be a reception for veterans in 128 Wallace on Tuesday, November 11</w:t>
      </w:r>
      <w:r w:rsidRPr="003000A4">
        <w:rPr>
          <w:sz w:val="24"/>
          <w:szCs w:val="24"/>
          <w:vertAlign w:val="superscript"/>
        </w:rPr>
        <w:t>th</w:t>
      </w:r>
      <w:r>
        <w:rPr>
          <w:sz w:val="24"/>
          <w:szCs w:val="24"/>
        </w:rPr>
        <w:t xml:space="preserve"> from 2:00 to 4:00 pm.  There are 287 perspective December graduates.  The current FTE is</w:t>
      </w:r>
      <w:r w:rsidR="00EB25DF">
        <w:rPr>
          <w:sz w:val="24"/>
          <w:szCs w:val="24"/>
        </w:rPr>
        <w:t xml:space="preserve"> 2,957</w:t>
      </w:r>
      <w:r>
        <w:rPr>
          <w:sz w:val="24"/>
          <w:szCs w:val="24"/>
        </w:rPr>
        <w:t>.</w:t>
      </w:r>
    </w:p>
    <w:p w:rsidR="003000A4" w:rsidRDefault="003000A4" w:rsidP="00367531">
      <w:pPr>
        <w:jc w:val="both"/>
        <w:rPr>
          <w:sz w:val="24"/>
          <w:szCs w:val="24"/>
        </w:rPr>
      </w:pPr>
    </w:p>
    <w:p w:rsidR="003000A4" w:rsidRDefault="003000A4" w:rsidP="00367531">
      <w:pPr>
        <w:jc w:val="both"/>
        <w:rPr>
          <w:sz w:val="24"/>
          <w:szCs w:val="24"/>
        </w:rPr>
      </w:pPr>
      <w:r>
        <w:rPr>
          <w:sz w:val="24"/>
          <w:szCs w:val="24"/>
        </w:rPr>
        <w:t xml:space="preserve">The </w:t>
      </w:r>
      <w:r w:rsidRPr="00367531">
        <w:rPr>
          <w:sz w:val="24"/>
          <w:szCs w:val="24"/>
          <w:u w:val="single"/>
        </w:rPr>
        <w:t>Budget for Ac</w:t>
      </w:r>
      <w:r w:rsidR="00180BC8" w:rsidRPr="00367531">
        <w:rPr>
          <w:sz w:val="24"/>
          <w:szCs w:val="24"/>
          <w:u w:val="single"/>
        </w:rPr>
        <w:t>ademic Affairs</w:t>
      </w:r>
      <w:r w:rsidR="00180BC8">
        <w:rPr>
          <w:sz w:val="24"/>
          <w:szCs w:val="24"/>
        </w:rPr>
        <w:t xml:space="preserve"> was presented.  Dr. Carter has approved </w:t>
      </w:r>
      <w:r w:rsidR="00C35315">
        <w:rPr>
          <w:sz w:val="24"/>
          <w:szCs w:val="24"/>
        </w:rPr>
        <w:t>the budget which includes funds from Title III Part B, CCRAA, Development Fund, WVSU Foundation, College Operations, and Education and General.  The budget totals $</w:t>
      </w:r>
    </w:p>
    <w:p w:rsidR="0098386D" w:rsidRDefault="009603F7" w:rsidP="00367531">
      <w:pPr>
        <w:jc w:val="both"/>
        <w:rPr>
          <w:sz w:val="24"/>
          <w:szCs w:val="24"/>
        </w:rPr>
      </w:pPr>
      <w:proofErr w:type="gramStart"/>
      <w:r>
        <w:rPr>
          <w:sz w:val="24"/>
          <w:szCs w:val="24"/>
        </w:rPr>
        <w:t>for</w:t>
      </w:r>
      <w:proofErr w:type="gramEnd"/>
      <w:r>
        <w:rPr>
          <w:sz w:val="24"/>
          <w:szCs w:val="24"/>
        </w:rPr>
        <w:t xml:space="preserve"> AY09.</w:t>
      </w:r>
    </w:p>
    <w:p w:rsidR="009603F7" w:rsidRDefault="009603F7" w:rsidP="00367531">
      <w:pPr>
        <w:jc w:val="both"/>
        <w:rPr>
          <w:sz w:val="24"/>
          <w:szCs w:val="24"/>
        </w:rPr>
      </w:pPr>
    </w:p>
    <w:p w:rsidR="00D93FE3" w:rsidRDefault="00D93FE3" w:rsidP="00367531">
      <w:pPr>
        <w:jc w:val="both"/>
        <w:rPr>
          <w:sz w:val="24"/>
          <w:szCs w:val="24"/>
        </w:rPr>
      </w:pPr>
      <w:r>
        <w:rPr>
          <w:sz w:val="24"/>
          <w:szCs w:val="24"/>
        </w:rPr>
        <w:t>The Library budget was presented with proposed purchases from Title III Part B and CCRAA fun</w:t>
      </w:r>
      <w:r w:rsidR="00017EE4">
        <w:rPr>
          <w:sz w:val="24"/>
          <w:szCs w:val="24"/>
        </w:rPr>
        <w:t>ds for improvements.</w:t>
      </w:r>
    </w:p>
    <w:p w:rsidR="00017EE4" w:rsidRDefault="00017EE4" w:rsidP="00367531">
      <w:pPr>
        <w:jc w:val="both"/>
        <w:rPr>
          <w:sz w:val="24"/>
          <w:szCs w:val="24"/>
        </w:rPr>
      </w:pPr>
    </w:p>
    <w:p w:rsidR="00017EE4" w:rsidRDefault="00017EE4" w:rsidP="00367531">
      <w:pPr>
        <w:jc w:val="both"/>
        <w:rPr>
          <w:sz w:val="24"/>
          <w:szCs w:val="24"/>
        </w:rPr>
      </w:pPr>
      <w:r>
        <w:rPr>
          <w:sz w:val="24"/>
          <w:szCs w:val="24"/>
        </w:rPr>
        <w:t>Mrs</w:t>
      </w:r>
      <w:r w:rsidR="005D0202">
        <w:rPr>
          <w:sz w:val="24"/>
          <w:szCs w:val="24"/>
        </w:rPr>
        <w:t>.</w:t>
      </w:r>
      <w:r>
        <w:rPr>
          <w:sz w:val="24"/>
          <w:szCs w:val="24"/>
        </w:rPr>
        <w:t xml:space="preserve"> Blaylock </w:t>
      </w:r>
      <w:r w:rsidR="00367531">
        <w:rPr>
          <w:sz w:val="24"/>
          <w:szCs w:val="24"/>
        </w:rPr>
        <w:t>(</w:t>
      </w:r>
      <w:r w:rsidR="00367531" w:rsidRPr="00367531">
        <w:rPr>
          <w:sz w:val="24"/>
          <w:szCs w:val="24"/>
          <w:u w:val="single"/>
        </w:rPr>
        <w:t>RBA</w:t>
      </w:r>
      <w:r w:rsidR="00367531">
        <w:rPr>
          <w:sz w:val="24"/>
          <w:szCs w:val="24"/>
        </w:rPr>
        <w:t xml:space="preserve">) </w:t>
      </w:r>
      <w:r>
        <w:rPr>
          <w:sz w:val="24"/>
          <w:szCs w:val="24"/>
        </w:rPr>
        <w:t>was congratulated for initiating the first Graduate Fair.  Seven universities sent representatives and 70 students participated.</w:t>
      </w:r>
      <w:r w:rsidR="005D0202">
        <w:rPr>
          <w:sz w:val="24"/>
          <w:szCs w:val="24"/>
        </w:rPr>
        <w:t xml:space="preserve">  Plans are being made to coordinate the next Graduate Fair with the Graduate Salute.</w:t>
      </w:r>
    </w:p>
    <w:p w:rsidR="00017EE4" w:rsidRDefault="00017EE4" w:rsidP="00367531">
      <w:pPr>
        <w:jc w:val="both"/>
        <w:rPr>
          <w:sz w:val="24"/>
          <w:szCs w:val="24"/>
        </w:rPr>
      </w:pPr>
    </w:p>
    <w:p w:rsidR="00017EE4" w:rsidRDefault="00017EE4" w:rsidP="00367531">
      <w:pPr>
        <w:jc w:val="both"/>
        <w:rPr>
          <w:sz w:val="24"/>
          <w:szCs w:val="24"/>
        </w:rPr>
      </w:pPr>
      <w:r w:rsidRPr="00367531">
        <w:rPr>
          <w:sz w:val="24"/>
          <w:szCs w:val="24"/>
          <w:u w:val="single"/>
        </w:rPr>
        <w:t>Dual Credit</w:t>
      </w:r>
      <w:r>
        <w:rPr>
          <w:sz w:val="24"/>
          <w:szCs w:val="24"/>
        </w:rPr>
        <w:t xml:space="preserve"> has 25 classes in local high schools with more than 300 students enrolled.</w:t>
      </w:r>
    </w:p>
    <w:p w:rsidR="00017EE4" w:rsidRDefault="00017EE4" w:rsidP="00367531">
      <w:pPr>
        <w:jc w:val="both"/>
        <w:rPr>
          <w:sz w:val="24"/>
          <w:szCs w:val="24"/>
        </w:rPr>
      </w:pPr>
    </w:p>
    <w:p w:rsidR="00017EE4" w:rsidRDefault="00017EE4" w:rsidP="00367531">
      <w:pPr>
        <w:jc w:val="both"/>
        <w:rPr>
          <w:sz w:val="24"/>
          <w:szCs w:val="24"/>
        </w:rPr>
      </w:pPr>
      <w:r>
        <w:rPr>
          <w:sz w:val="24"/>
          <w:szCs w:val="24"/>
        </w:rPr>
        <w:t xml:space="preserve">The </w:t>
      </w:r>
      <w:r w:rsidRPr="00367531">
        <w:rPr>
          <w:sz w:val="24"/>
          <w:szCs w:val="24"/>
          <w:u w:val="single"/>
        </w:rPr>
        <w:t>Center for Instructional Technology</w:t>
      </w:r>
      <w:r>
        <w:rPr>
          <w:sz w:val="24"/>
          <w:szCs w:val="24"/>
        </w:rPr>
        <w:t xml:space="preserve"> reported that there was a 50% increase in student</w:t>
      </w:r>
      <w:r w:rsidR="009603F7">
        <w:rPr>
          <w:sz w:val="24"/>
          <w:szCs w:val="24"/>
        </w:rPr>
        <w:t xml:space="preserve">s learning from </w:t>
      </w:r>
      <w:proofErr w:type="spellStart"/>
      <w:r w:rsidR="009603F7">
        <w:rPr>
          <w:sz w:val="24"/>
          <w:szCs w:val="24"/>
        </w:rPr>
        <w:t>WebCT</w:t>
      </w:r>
      <w:proofErr w:type="spellEnd"/>
      <w:r w:rsidR="009603F7">
        <w:rPr>
          <w:sz w:val="24"/>
          <w:szCs w:val="24"/>
        </w:rPr>
        <w:t xml:space="preserve">.  Currently there are 53 classes using </w:t>
      </w:r>
      <w:proofErr w:type="spellStart"/>
      <w:r w:rsidR="009603F7">
        <w:rPr>
          <w:sz w:val="24"/>
          <w:szCs w:val="24"/>
        </w:rPr>
        <w:t>WebCT</w:t>
      </w:r>
      <w:proofErr w:type="spellEnd"/>
      <w:r w:rsidR="009603F7">
        <w:rPr>
          <w:sz w:val="24"/>
          <w:szCs w:val="24"/>
        </w:rPr>
        <w:t>.  A new facility for faculty instruction will be ready in W227 this fall.</w:t>
      </w:r>
    </w:p>
    <w:p w:rsidR="009603F7" w:rsidRDefault="009603F7" w:rsidP="00367531">
      <w:pPr>
        <w:jc w:val="both"/>
        <w:rPr>
          <w:sz w:val="24"/>
          <w:szCs w:val="24"/>
        </w:rPr>
      </w:pPr>
    </w:p>
    <w:p w:rsidR="009603F7" w:rsidRDefault="009603F7" w:rsidP="00367531">
      <w:pPr>
        <w:jc w:val="both"/>
        <w:rPr>
          <w:sz w:val="24"/>
          <w:szCs w:val="24"/>
        </w:rPr>
      </w:pPr>
      <w:r>
        <w:rPr>
          <w:sz w:val="24"/>
          <w:szCs w:val="24"/>
        </w:rPr>
        <w:t xml:space="preserve">Dr. Natsis reported on the success of the Geri-Olympics trips to Prague.  There were 28 persons who represented West Virginia.  He also is planning a BA and BS in </w:t>
      </w:r>
      <w:r w:rsidRPr="00367531">
        <w:rPr>
          <w:sz w:val="24"/>
          <w:szCs w:val="24"/>
          <w:u w:val="single"/>
        </w:rPr>
        <w:t>International Studies</w:t>
      </w:r>
      <w:r>
        <w:rPr>
          <w:sz w:val="24"/>
          <w:szCs w:val="24"/>
        </w:rPr>
        <w:t xml:space="preserve"> with concentrations in Business Administration, Communications, Foreign Language, and Political Science.</w:t>
      </w:r>
    </w:p>
    <w:p w:rsidR="00017EE4" w:rsidRDefault="00017EE4" w:rsidP="00367531">
      <w:pPr>
        <w:jc w:val="both"/>
        <w:rPr>
          <w:sz w:val="24"/>
          <w:szCs w:val="24"/>
        </w:rPr>
      </w:pPr>
    </w:p>
    <w:p w:rsidR="009603F7" w:rsidRDefault="000C3909" w:rsidP="00367531">
      <w:pPr>
        <w:jc w:val="both"/>
        <w:rPr>
          <w:b/>
          <w:bCs/>
          <w:sz w:val="24"/>
          <w:szCs w:val="24"/>
        </w:rPr>
      </w:pPr>
      <w:r w:rsidRPr="005D0202">
        <w:rPr>
          <w:b/>
          <w:sz w:val="24"/>
          <w:szCs w:val="24"/>
        </w:rPr>
        <w:t>The</w:t>
      </w:r>
      <w:r>
        <w:rPr>
          <w:b/>
          <w:bCs/>
          <w:sz w:val="24"/>
          <w:szCs w:val="24"/>
        </w:rPr>
        <w:t xml:space="preserve"> Deans Council </w:t>
      </w:r>
    </w:p>
    <w:p w:rsidR="009603F7" w:rsidRPr="009603F7" w:rsidRDefault="009603F7" w:rsidP="00367531">
      <w:pPr>
        <w:jc w:val="both"/>
        <w:rPr>
          <w:bCs/>
          <w:sz w:val="24"/>
          <w:szCs w:val="24"/>
        </w:rPr>
      </w:pPr>
    </w:p>
    <w:p w:rsidR="009603F7" w:rsidRDefault="009603F7" w:rsidP="00367531">
      <w:pPr>
        <w:jc w:val="both"/>
        <w:rPr>
          <w:b/>
          <w:bCs/>
          <w:sz w:val="24"/>
          <w:szCs w:val="24"/>
        </w:rPr>
      </w:pPr>
      <w:r w:rsidRPr="009603F7">
        <w:rPr>
          <w:bCs/>
          <w:sz w:val="24"/>
          <w:szCs w:val="24"/>
        </w:rPr>
        <w:t xml:space="preserve">The academic </w:t>
      </w:r>
      <w:r>
        <w:rPr>
          <w:bCs/>
          <w:sz w:val="24"/>
          <w:szCs w:val="24"/>
        </w:rPr>
        <w:t xml:space="preserve">deans have been actively involved with a larger committee </w:t>
      </w:r>
      <w:r w:rsidR="00EB25DF">
        <w:rPr>
          <w:bCs/>
          <w:sz w:val="24"/>
          <w:szCs w:val="24"/>
        </w:rPr>
        <w:t>working on the Compact this semester.  Topics of discussion at the September 30 and November 4 meeting included: part-time faculty, International Studies degree, faculty years in current rank, Compact date, September budget reports, CCRAA/Title III budgets, Sabbatical issues, faculty library borrowing policy, Spring Schedule issues, guidelines for W122, and the deans in loop for program review.</w:t>
      </w:r>
    </w:p>
    <w:p w:rsidR="009603F7" w:rsidRDefault="009603F7" w:rsidP="00367531">
      <w:pPr>
        <w:jc w:val="both"/>
        <w:rPr>
          <w:b/>
          <w:bCs/>
          <w:sz w:val="24"/>
          <w:szCs w:val="24"/>
        </w:rPr>
      </w:pPr>
    </w:p>
    <w:p w:rsidR="00367531" w:rsidRDefault="00367531" w:rsidP="00367531">
      <w:pPr>
        <w:jc w:val="both"/>
        <w:rPr>
          <w:b/>
          <w:bCs/>
          <w:sz w:val="24"/>
          <w:szCs w:val="24"/>
        </w:rPr>
      </w:pPr>
    </w:p>
    <w:p w:rsidR="00314D65" w:rsidRDefault="00EB25DF" w:rsidP="00367531">
      <w:pPr>
        <w:jc w:val="both"/>
        <w:rPr>
          <w:b/>
          <w:sz w:val="24"/>
          <w:szCs w:val="24"/>
        </w:rPr>
      </w:pPr>
      <w:r>
        <w:rPr>
          <w:b/>
          <w:sz w:val="24"/>
          <w:szCs w:val="24"/>
        </w:rPr>
        <w:t xml:space="preserve">Office of the </w:t>
      </w:r>
      <w:r w:rsidR="00DE0B26" w:rsidRPr="00DE0B26">
        <w:rPr>
          <w:b/>
          <w:sz w:val="24"/>
          <w:szCs w:val="24"/>
        </w:rPr>
        <w:t>Vice President for Academic Affairs</w:t>
      </w:r>
      <w:r w:rsidR="00E13B67">
        <w:rPr>
          <w:b/>
          <w:sz w:val="24"/>
          <w:szCs w:val="24"/>
        </w:rPr>
        <w:t xml:space="preserve"> </w:t>
      </w:r>
    </w:p>
    <w:p w:rsidR="001D00D0" w:rsidRDefault="001D00D0" w:rsidP="00367531">
      <w:pPr>
        <w:jc w:val="both"/>
        <w:rPr>
          <w:b/>
          <w:sz w:val="24"/>
          <w:szCs w:val="24"/>
        </w:rPr>
      </w:pPr>
    </w:p>
    <w:p w:rsidR="001D00D0" w:rsidRDefault="001D00D0" w:rsidP="00367531">
      <w:pPr>
        <w:jc w:val="both"/>
        <w:rPr>
          <w:sz w:val="24"/>
          <w:szCs w:val="24"/>
        </w:rPr>
      </w:pPr>
      <w:r>
        <w:rPr>
          <w:sz w:val="24"/>
          <w:szCs w:val="24"/>
        </w:rPr>
        <w:t>Academic Affairs has assisted student groups from the Criminal Justice and Communications Departments to attend national meetings.  Assistance was also provided to the Political Science Department to host the state meeting for public administration and political science association.</w:t>
      </w:r>
    </w:p>
    <w:p w:rsidR="001D00D0" w:rsidRDefault="001D00D0" w:rsidP="00367531">
      <w:pPr>
        <w:jc w:val="both"/>
        <w:rPr>
          <w:b/>
          <w:sz w:val="24"/>
          <w:szCs w:val="24"/>
        </w:rPr>
      </w:pPr>
    </w:p>
    <w:p w:rsidR="00133219" w:rsidRDefault="00EB25DF" w:rsidP="00367531">
      <w:pPr>
        <w:jc w:val="both"/>
        <w:rPr>
          <w:sz w:val="24"/>
          <w:szCs w:val="24"/>
        </w:rPr>
      </w:pPr>
      <w:r>
        <w:rPr>
          <w:sz w:val="24"/>
          <w:szCs w:val="24"/>
        </w:rPr>
        <w:t>In order for students to use the internet more as their of</w:t>
      </w:r>
      <w:r w:rsidR="00133219">
        <w:rPr>
          <w:sz w:val="24"/>
          <w:szCs w:val="24"/>
        </w:rPr>
        <w:t xml:space="preserve">ficial means of communication for academic information, the printed </w:t>
      </w:r>
      <w:r w:rsidR="00133219" w:rsidRPr="00367531">
        <w:rPr>
          <w:sz w:val="24"/>
          <w:szCs w:val="24"/>
          <w:u w:val="single"/>
        </w:rPr>
        <w:t>class schedule</w:t>
      </w:r>
      <w:r w:rsidR="00133219">
        <w:rPr>
          <w:sz w:val="24"/>
          <w:szCs w:val="24"/>
        </w:rPr>
        <w:t xml:space="preserve"> was discontinued.  The $ 13,000 formally used for printing will be used for academic program advertisement and recruitment.  The printed schedule was a snap shot and out of date before it was printed.  The Internet schedule will be current and more useful.</w:t>
      </w:r>
      <w:r w:rsidR="00367531">
        <w:rPr>
          <w:sz w:val="24"/>
          <w:szCs w:val="24"/>
        </w:rPr>
        <w:t xml:space="preserve"> </w:t>
      </w:r>
      <w:r w:rsidR="00133219">
        <w:rPr>
          <w:sz w:val="24"/>
          <w:szCs w:val="24"/>
        </w:rPr>
        <w:t>Each College and Academic Affairs has persons assigned to advertisement.  Workshops have been held to assist with better advertisement for academic programs.</w:t>
      </w:r>
    </w:p>
    <w:p w:rsidR="00133219" w:rsidRDefault="00133219" w:rsidP="00367531">
      <w:pPr>
        <w:jc w:val="both"/>
        <w:rPr>
          <w:sz w:val="24"/>
          <w:szCs w:val="24"/>
        </w:rPr>
      </w:pPr>
    </w:p>
    <w:p w:rsidR="00133219" w:rsidRDefault="00133219" w:rsidP="00367531">
      <w:pPr>
        <w:jc w:val="both"/>
        <w:rPr>
          <w:sz w:val="24"/>
          <w:szCs w:val="24"/>
        </w:rPr>
      </w:pPr>
      <w:r w:rsidRPr="00367531">
        <w:rPr>
          <w:sz w:val="24"/>
          <w:szCs w:val="24"/>
          <w:u w:val="single"/>
        </w:rPr>
        <w:t>Faculty Information Session</w:t>
      </w:r>
      <w:r>
        <w:rPr>
          <w:sz w:val="24"/>
          <w:szCs w:val="24"/>
        </w:rPr>
        <w:t xml:space="preserve"> will begin November 7</w:t>
      </w:r>
      <w:r w:rsidRPr="00133219">
        <w:rPr>
          <w:sz w:val="24"/>
          <w:szCs w:val="24"/>
          <w:vertAlign w:val="superscript"/>
        </w:rPr>
        <w:t>th</w:t>
      </w:r>
      <w:r>
        <w:rPr>
          <w:sz w:val="24"/>
          <w:szCs w:val="24"/>
        </w:rPr>
        <w:t xml:space="preserve"> to hear reports on last </w:t>
      </w:r>
      <w:r w:rsidR="00367531">
        <w:rPr>
          <w:sz w:val="24"/>
          <w:szCs w:val="24"/>
        </w:rPr>
        <w:t>s</w:t>
      </w:r>
      <w:r>
        <w:rPr>
          <w:sz w:val="24"/>
          <w:szCs w:val="24"/>
        </w:rPr>
        <w:t>pring’s Task Groups.  Work on the Compact delayed this process.</w:t>
      </w:r>
    </w:p>
    <w:p w:rsidR="00133219" w:rsidRDefault="00133219" w:rsidP="00367531">
      <w:pPr>
        <w:jc w:val="both"/>
        <w:rPr>
          <w:sz w:val="24"/>
          <w:szCs w:val="24"/>
        </w:rPr>
      </w:pPr>
    </w:p>
    <w:p w:rsidR="00133219" w:rsidRDefault="00133219" w:rsidP="00367531">
      <w:pPr>
        <w:jc w:val="both"/>
        <w:rPr>
          <w:sz w:val="24"/>
          <w:szCs w:val="24"/>
        </w:rPr>
      </w:pPr>
      <w:r w:rsidRPr="00367531">
        <w:rPr>
          <w:sz w:val="24"/>
          <w:szCs w:val="24"/>
          <w:u w:val="single"/>
        </w:rPr>
        <w:t>The Compact</w:t>
      </w:r>
      <w:r>
        <w:rPr>
          <w:sz w:val="24"/>
          <w:szCs w:val="24"/>
        </w:rPr>
        <w:t xml:space="preserve"> is due to WVHEPC on December 1, 2008.  The WVSU Board of governors will vote on the Compact on November 13, 2008.</w:t>
      </w:r>
    </w:p>
    <w:p w:rsidR="00133219" w:rsidRDefault="00133219" w:rsidP="00367531">
      <w:pPr>
        <w:jc w:val="both"/>
        <w:rPr>
          <w:sz w:val="24"/>
          <w:szCs w:val="24"/>
        </w:rPr>
      </w:pPr>
    </w:p>
    <w:p w:rsidR="00133219" w:rsidRDefault="00133219" w:rsidP="00367531">
      <w:pPr>
        <w:jc w:val="both"/>
        <w:rPr>
          <w:sz w:val="24"/>
          <w:szCs w:val="24"/>
        </w:rPr>
      </w:pPr>
      <w:r>
        <w:rPr>
          <w:sz w:val="24"/>
          <w:szCs w:val="24"/>
        </w:rPr>
        <w:t xml:space="preserve">As we move to strengthen our Colleges, plans call for </w:t>
      </w:r>
      <w:r w:rsidRPr="00367531">
        <w:rPr>
          <w:sz w:val="24"/>
          <w:szCs w:val="24"/>
          <w:u w:val="single"/>
        </w:rPr>
        <w:t>class schedules data</w:t>
      </w:r>
      <w:r>
        <w:rPr>
          <w:sz w:val="24"/>
          <w:szCs w:val="24"/>
        </w:rPr>
        <w:t xml:space="preserve"> to be entered </w:t>
      </w:r>
      <w:r w:rsidR="001D00D0">
        <w:rPr>
          <w:sz w:val="24"/>
          <w:szCs w:val="24"/>
        </w:rPr>
        <w:t>at each college office instead of the Office of Registration and Records.</w:t>
      </w:r>
    </w:p>
    <w:p w:rsidR="001D00D0" w:rsidRDefault="001D00D0" w:rsidP="00367531">
      <w:pPr>
        <w:jc w:val="both"/>
        <w:rPr>
          <w:sz w:val="24"/>
          <w:szCs w:val="24"/>
        </w:rPr>
      </w:pPr>
    </w:p>
    <w:p w:rsidR="001D00D0" w:rsidRDefault="001D00D0" w:rsidP="00367531">
      <w:pPr>
        <w:jc w:val="both"/>
        <w:rPr>
          <w:sz w:val="24"/>
          <w:szCs w:val="24"/>
        </w:rPr>
      </w:pPr>
      <w:r>
        <w:rPr>
          <w:sz w:val="24"/>
          <w:szCs w:val="24"/>
        </w:rPr>
        <w:t xml:space="preserve">The </w:t>
      </w:r>
      <w:r w:rsidRPr="00367531">
        <w:rPr>
          <w:sz w:val="24"/>
          <w:szCs w:val="24"/>
          <w:u w:val="single"/>
        </w:rPr>
        <w:t>Title III and CCRAA funds</w:t>
      </w:r>
      <w:r>
        <w:rPr>
          <w:sz w:val="24"/>
          <w:szCs w:val="24"/>
        </w:rPr>
        <w:t xml:space="preserve"> for this academic year became available on October 1, 2008.  President Carter has approved the distribution.  Activity and program directors are meeting to implement the distribution for use.</w:t>
      </w:r>
    </w:p>
    <w:p w:rsidR="001D00D0" w:rsidRDefault="001D00D0" w:rsidP="00EB25DF">
      <w:pPr>
        <w:rPr>
          <w:sz w:val="24"/>
          <w:szCs w:val="24"/>
        </w:rPr>
      </w:pPr>
    </w:p>
    <w:p w:rsidR="00180AE9" w:rsidRDefault="00180AE9" w:rsidP="00EB25DF">
      <w:pPr>
        <w:rPr>
          <w:sz w:val="24"/>
          <w:szCs w:val="24"/>
        </w:rPr>
      </w:pPr>
    </w:p>
    <w:p w:rsidR="00180AE9" w:rsidRDefault="00180AE9" w:rsidP="00EB25DF">
      <w:pPr>
        <w:rPr>
          <w:sz w:val="24"/>
          <w:szCs w:val="24"/>
        </w:rPr>
      </w:pPr>
      <w:r>
        <w:rPr>
          <w:sz w:val="24"/>
          <w:szCs w:val="24"/>
        </w:rPr>
        <w:t>Attached, please find the Academic Affairs Budget for 2008-2009.</w:t>
      </w:r>
    </w:p>
    <w:p w:rsidR="00180AE9" w:rsidRDefault="00180AE9" w:rsidP="00EB25DF">
      <w:pPr>
        <w:rPr>
          <w:sz w:val="24"/>
          <w:szCs w:val="24"/>
        </w:rPr>
      </w:pPr>
    </w:p>
    <w:p w:rsidR="00180AE9" w:rsidRDefault="00180AE9" w:rsidP="00EB25DF">
      <w:pPr>
        <w:rPr>
          <w:sz w:val="24"/>
          <w:szCs w:val="24"/>
        </w:rPr>
      </w:pPr>
    </w:p>
    <w:p w:rsidR="00180AE9" w:rsidRDefault="00180AE9" w:rsidP="00EB25DF">
      <w:pPr>
        <w:rPr>
          <w:sz w:val="24"/>
          <w:szCs w:val="24"/>
        </w:rPr>
      </w:pPr>
    </w:p>
    <w:p w:rsidR="00180AE9" w:rsidRDefault="00180AE9" w:rsidP="00EB25DF">
      <w:pPr>
        <w:rPr>
          <w:sz w:val="24"/>
          <w:szCs w:val="24"/>
        </w:rPr>
      </w:pPr>
    </w:p>
    <w:p w:rsidR="00180AE9" w:rsidRDefault="00180AE9" w:rsidP="00EB25DF">
      <w:pPr>
        <w:rPr>
          <w:sz w:val="24"/>
          <w:szCs w:val="24"/>
        </w:rPr>
      </w:pPr>
    </w:p>
    <w:p w:rsidR="00180AE9" w:rsidRDefault="00180AE9" w:rsidP="00EB25DF">
      <w:pPr>
        <w:rPr>
          <w:sz w:val="24"/>
          <w:szCs w:val="24"/>
        </w:rPr>
      </w:pPr>
    </w:p>
    <w:p w:rsidR="00180AE9" w:rsidRDefault="00180AE9" w:rsidP="00EB25DF">
      <w:pPr>
        <w:rPr>
          <w:sz w:val="24"/>
          <w:szCs w:val="24"/>
        </w:rPr>
      </w:pPr>
    </w:p>
    <w:p w:rsidR="00180AE9" w:rsidRDefault="00180AE9" w:rsidP="00EB25DF">
      <w:pPr>
        <w:rPr>
          <w:sz w:val="24"/>
          <w:szCs w:val="24"/>
        </w:rPr>
      </w:pPr>
    </w:p>
    <w:p w:rsidR="00180AE9" w:rsidRDefault="00180AE9" w:rsidP="00EB25DF">
      <w:pPr>
        <w:rPr>
          <w:sz w:val="24"/>
          <w:szCs w:val="24"/>
        </w:rPr>
      </w:pPr>
    </w:p>
    <w:p w:rsidR="00180AE9" w:rsidRDefault="00180AE9" w:rsidP="00EB25DF">
      <w:pPr>
        <w:rPr>
          <w:sz w:val="24"/>
          <w:szCs w:val="24"/>
        </w:rPr>
      </w:pPr>
    </w:p>
    <w:p w:rsidR="00180AE9" w:rsidRDefault="00180AE9" w:rsidP="00EB25DF">
      <w:pPr>
        <w:rPr>
          <w:sz w:val="24"/>
          <w:szCs w:val="24"/>
        </w:rPr>
      </w:pPr>
    </w:p>
    <w:p w:rsidR="00180AE9" w:rsidRDefault="00180AE9" w:rsidP="00EB25DF">
      <w:pPr>
        <w:rPr>
          <w:sz w:val="24"/>
          <w:szCs w:val="24"/>
        </w:rPr>
      </w:pPr>
    </w:p>
    <w:p w:rsidR="00180AE9" w:rsidRDefault="00180AE9" w:rsidP="00EB25DF">
      <w:pPr>
        <w:rPr>
          <w:sz w:val="24"/>
          <w:szCs w:val="24"/>
        </w:rPr>
      </w:pPr>
    </w:p>
    <w:p w:rsidR="00180AE9" w:rsidRDefault="00180AE9" w:rsidP="00EB25DF">
      <w:pPr>
        <w:rPr>
          <w:sz w:val="24"/>
          <w:szCs w:val="24"/>
        </w:rPr>
      </w:pPr>
    </w:p>
    <w:p w:rsidR="00180AE9" w:rsidRDefault="00180AE9" w:rsidP="00EB25DF">
      <w:pPr>
        <w:rPr>
          <w:sz w:val="24"/>
          <w:szCs w:val="24"/>
        </w:rPr>
      </w:pPr>
    </w:p>
    <w:tbl>
      <w:tblPr>
        <w:tblW w:w="11868" w:type="dxa"/>
        <w:tblInd w:w="-150" w:type="dxa"/>
        <w:tblLayout w:type="fixed"/>
        <w:tblCellMar>
          <w:left w:w="30" w:type="dxa"/>
          <w:right w:w="30" w:type="dxa"/>
        </w:tblCellMar>
        <w:tblLook w:val="0000"/>
      </w:tblPr>
      <w:tblGrid>
        <w:gridCol w:w="6690"/>
        <w:gridCol w:w="1050"/>
        <w:gridCol w:w="1620"/>
        <w:gridCol w:w="1620"/>
        <w:gridCol w:w="888"/>
      </w:tblGrid>
      <w:tr w:rsidR="00D86114" w:rsidRPr="00353556" w:rsidTr="00D86114">
        <w:tblPrEx>
          <w:tblCellMar>
            <w:top w:w="0" w:type="dxa"/>
            <w:bottom w:w="0" w:type="dxa"/>
          </w:tblCellMar>
        </w:tblPrEx>
        <w:trPr>
          <w:trHeight w:val="307"/>
        </w:trPr>
        <w:tc>
          <w:tcPr>
            <w:tcW w:w="10980" w:type="dxa"/>
            <w:gridSpan w:val="4"/>
            <w:tcBorders>
              <w:top w:val="nil"/>
              <w:left w:val="nil"/>
              <w:bottom w:val="nil"/>
              <w:right w:val="nil"/>
            </w:tcBorders>
          </w:tcPr>
          <w:p w:rsidR="00353556" w:rsidRPr="00353556" w:rsidRDefault="00353556" w:rsidP="00353556">
            <w:pPr>
              <w:widowControl/>
              <w:jc w:val="center"/>
              <w:rPr>
                <w:rFonts w:cs="Arial"/>
                <w:b/>
                <w:bCs/>
                <w:color w:val="000000"/>
                <w:sz w:val="28"/>
                <w:szCs w:val="28"/>
              </w:rPr>
            </w:pPr>
            <w:r w:rsidRPr="00353556">
              <w:rPr>
                <w:rFonts w:cs="Arial"/>
                <w:b/>
                <w:bCs/>
                <w:color w:val="000000"/>
                <w:sz w:val="28"/>
                <w:szCs w:val="28"/>
              </w:rPr>
              <w:t>WEST VIRGINIA STATE UNIVERSITY</w:t>
            </w: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307"/>
        </w:trPr>
        <w:tc>
          <w:tcPr>
            <w:tcW w:w="10980" w:type="dxa"/>
            <w:gridSpan w:val="4"/>
            <w:tcBorders>
              <w:top w:val="nil"/>
              <w:left w:val="nil"/>
              <w:bottom w:val="nil"/>
              <w:right w:val="nil"/>
            </w:tcBorders>
          </w:tcPr>
          <w:p w:rsidR="00353556" w:rsidRPr="00353556" w:rsidRDefault="00353556" w:rsidP="00353556">
            <w:pPr>
              <w:widowControl/>
              <w:jc w:val="center"/>
              <w:rPr>
                <w:rFonts w:cs="Arial"/>
                <w:b/>
                <w:bCs/>
                <w:color w:val="000000"/>
                <w:sz w:val="28"/>
                <w:szCs w:val="28"/>
              </w:rPr>
            </w:pPr>
            <w:r w:rsidRPr="00353556">
              <w:rPr>
                <w:rFonts w:cs="Arial"/>
                <w:b/>
                <w:bCs/>
                <w:color w:val="000000"/>
                <w:sz w:val="28"/>
                <w:szCs w:val="28"/>
              </w:rPr>
              <w:t>OFFICE OF ACADEMIC AFFAIRS</w:t>
            </w: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307"/>
        </w:trPr>
        <w:tc>
          <w:tcPr>
            <w:tcW w:w="10980" w:type="dxa"/>
            <w:gridSpan w:val="4"/>
            <w:tcBorders>
              <w:top w:val="nil"/>
              <w:left w:val="nil"/>
              <w:bottom w:val="nil"/>
              <w:right w:val="nil"/>
            </w:tcBorders>
          </w:tcPr>
          <w:p w:rsidR="00353556" w:rsidRPr="00353556" w:rsidRDefault="00353556" w:rsidP="00353556">
            <w:pPr>
              <w:widowControl/>
              <w:jc w:val="center"/>
              <w:rPr>
                <w:rFonts w:cs="Arial"/>
                <w:b/>
                <w:bCs/>
                <w:color w:val="000000"/>
                <w:sz w:val="28"/>
                <w:szCs w:val="28"/>
              </w:rPr>
            </w:pPr>
            <w:r w:rsidRPr="00353556">
              <w:rPr>
                <w:rFonts w:cs="Arial"/>
                <w:b/>
                <w:bCs/>
                <w:color w:val="000000"/>
                <w:sz w:val="28"/>
                <w:szCs w:val="28"/>
              </w:rPr>
              <w:t>BUDGET REPORT</w:t>
            </w: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307"/>
        </w:trPr>
        <w:tc>
          <w:tcPr>
            <w:tcW w:w="10980" w:type="dxa"/>
            <w:gridSpan w:val="4"/>
            <w:tcBorders>
              <w:top w:val="nil"/>
              <w:left w:val="nil"/>
              <w:bottom w:val="nil"/>
              <w:right w:val="nil"/>
            </w:tcBorders>
          </w:tcPr>
          <w:p w:rsidR="00353556" w:rsidRPr="00353556" w:rsidRDefault="00353556" w:rsidP="00353556">
            <w:pPr>
              <w:widowControl/>
              <w:jc w:val="center"/>
              <w:rPr>
                <w:rFonts w:cs="Arial"/>
                <w:b/>
                <w:bCs/>
                <w:color w:val="000000"/>
                <w:sz w:val="28"/>
                <w:szCs w:val="28"/>
              </w:rPr>
            </w:pPr>
            <w:r w:rsidRPr="00353556">
              <w:rPr>
                <w:rFonts w:cs="Arial"/>
                <w:b/>
                <w:bCs/>
                <w:color w:val="000000"/>
                <w:sz w:val="28"/>
                <w:szCs w:val="28"/>
              </w:rPr>
              <w:t>FISCAL YEAR 2008-2009</w:t>
            </w: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307"/>
        </w:trPr>
        <w:tc>
          <w:tcPr>
            <w:tcW w:w="6690" w:type="dxa"/>
            <w:tcBorders>
              <w:top w:val="nil"/>
              <w:left w:val="nil"/>
              <w:bottom w:val="nil"/>
              <w:right w:val="nil"/>
            </w:tcBorders>
          </w:tcPr>
          <w:p w:rsidR="00353556" w:rsidRPr="00353556" w:rsidRDefault="00353556" w:rsidP="00353556">
            <w:pPr>
              <w:widowControl/>
              <w:jc w:val="center"/>
              <w:rPr>
                <w:rFonts w:cs="Arial"/>
                <w:b/>
                <w:bCs/>
                <w:color w:val="000000"/>
                <w:sz w:val="28"/>
                <w:szCs w:val="28"/>
              </w:rPr>
            </w:pPr>
          </w:p>
        </w:tc>
        <w:tc>
          <w:tcPr>
            <w:tcW w:w="1050" w:type="dxa"/>
            <w:tcBorders>
              <w:top w:val="nil"/>
              <w:left w:val="nil"/>
              <w:bottom w:val="nil"/>
              <w:right w:val="nil"/>
            </w:tcBorders>
          </w:tcPr>
          <w:p w:rsidR="00353556" w:rsidRPr="00353556" w:rsidRDefault="00353556" w:rsidP="00353556">
            <w:pPr>
              <w:widowControl/>
              <w:jc w:val="center"/>
              <w:rPr>
                <w:rFonts w:cs="Arial"/>
                <w:b/>
                <w:bCs/>
                <w:color w:val="000000"/>
                <w:sz w:val="28"/>
                <w:szCs w:val="28"/>
              </w:rPr>
            </w:pPr>
          </w:p>
        </w:tc>
        <w:tc>
          <w:tcPr>
            <w:tcW w:w="1620" w:type="dxa"/>
            <w:tcBorders>
              <w:top w:val="nil"/>
              <w:left w:val="nil"/>
              <w:bottom w:val="nil"/>
              <w:right w:val="nil"/>
            </w:tcBorders>
          </w:tcPr>
          <w:p w:rsidR="00353556" w:rsidRPr="00353556" w:rsidRDefault="00353556" w:rsidP="00353556">
            <w:pPr>
              <w:widowControl/>
              <w:jc w:val="center"/>
              <w:rPr>
                <w:rFonts w:cs="Arial"/>
                <w:b/>
                <w:bCs/>
                <w:color w:val="000000"/>
                <w:sz w:val="28"/>
                <w:szCs w:val="28"/>
              </w:rPr>
            </w:pPr>
          </w:p>
        </w:tc>
        <w:tc>
          <w:tcPr>
            <w:tcW w:w="1620" w:type="dxa"/>
            <w:tcBorders>
              <w:top w:val="nil"/>
              <w:left w:val="nil"/>
              <w:bottom w:val="nil"/>
              <w:right w:val="nil"/>
            </w:tcBorders>
          </w:tcPr>
          <w:p w:rsidR="00353556" w:rsidRPr="00353556" w:rsidRDefault="00353556" w:rsidP="00353556">
            <w:pPr>
              <w:widowControl/>
              <w:jc w:val="center"/>
              <w:rPr>
                <w:rFonts w:cs="Arial"/>
                <w:b/>
                <w:bCs/>
                <w:color w:val="000000"/>
                <w:sz w:val="28"/>
                <w:szCs w:val="28"/>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18"/>
        </w:trPr>
        <w:tc>
          <w:tcPr>
            <w:tcW w:w="6690" w:type="dxa"/>
            <w:tcBorders>
              <w:top w:val="nil"/>
              <w:left w:val="nil"/>
              <w:bottom w:val="nil"/>
              <w:right w:val="nil"/>
            </w:tcBorders>
          </w:tcPr>
          <w:p w:rsidR="00353556" w:rsidRPr="00353556" w:rsidRDefault="00353556" w:rsidP="00353556">
            <w:pPr>
              <w:widowControl/>
              <w:jc w:val="center"/>
              <w:rPr>
                <w:rFonts w:cs="Arial"/>
                <w:color w:val="000000"/>
              </w:rPr>
            </w:pPr>
          </w:p>
        </w:tc>
        <w:tc>
          <w:tcPr>
            <w:tcW w:w="1050" w:type="dxa"/>
            <w:tcBorders>
              <w:top w:val="nil"/>
              <w:left w:val="nil"/>
              <w:bottom w:val="nil"/>
              <w:right w:val="nil"/>
            </w:tcBorders>
          </w:tcPr>
          <w:p w:rsidR="00353556" w:rsidRPr="00353556" w:rsidRDefault="00353556" w:rsidP="00353556">
            <w:pPr>
              <w:widowControl/>
              <w:jc w:val="center"/>
              <w:rPr>
                <w:rFonts w:cs="Arial"/>
                <w:color w:val="000000"/>
              </w:rPr>
            </w:pPr>
          </w:p>
        </w:tc>
        <w:tc>
          <w:tcPr>
            <w:tcW w:w="1620" w:type="dxa"/>
            <w:tcBorders>
              <w:top w:val="nil"/>
              <w:left w:val="nil"/>
              <w:bottom w:val="nil"/>
              <w:right w:val="nil"/>
            </w:tcBorders>
          </w:tcPr>
          <w:p w:rsidR="00353556" w:rsidRPr="00353556" w:rsidRDefault="00353556" w:rsidP="00353556">
            <w:pPr>
              <w:widowControl/>
              <w:jc w:val="center"/>
              <w:rPr>
                <w:rFonts w:cs="Arial"/>
                <w:color w:val="000000"/>
              </w:rPr>
            </w:pPr>
          </w:p>
        </w:tc>
        <w:tc>
          <w:tcPr>
            <w:tcW w:w="1620" w:type="dxa"/>
            <w:tcBorders>
              <w:top w:val="nil"/>
              <w:left w:val="nil"/>
              <w:bottom w:val="nil"/>
              <w:right w:val="nil"/>
            </w:tcBorders>
          </w:tcPr>
          <w:p w:rsidR="00353556" w:rsidRPr="00353556" w:rsidRDefault="00353556" w:rsidP="00353556">
            <w:pPr>
              <w:widowControl/>
              <w:jc w:val="center"/>
              <w:rPr>
                <w:rFonts w:cs="Arial"/>
                <w:color w:val="000000"/>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18"/>
        </w:trPr>
        <w:tc>
          <w:tcPr>
            <w:tcW w:w="6690" w:type="dxa"/>
            <w:tcBorders>
              <w:top w:val="nil"/>
              <w:left w:val="nil"/>
              <w:bottom w:val="nil"/>
              <w:right w:val="nil"/>
            </w:tcBorders>
          </w:tcPr>
          <w:p w:rsidR="00353556" w:rsidRPr="00353556" w:rsidRDefault="00353556" w:rsidP="00353556">
            <w:pPr>
              <w:widowControl/>
              <w:jc w:val="center"/>
              <w:rPr>
                <w:rFonts w:cs="Arial"/>
                <w:color w:val="000000"/>
              </w:rPr>
            </w:pPr>
          </w:p>
        </w:tc>
        <w:tc>
          <w:tcPr>
            <w:tcW w:w="1050" w:type="dxa"/>
            <w:tcBorders>
              <w:top w:val="nil"/>
              <w:left w:val="nil"/>
              <w:bottom w:val="nil"/>
              <w:right w:val="nil"/>
            </w:tcBorders>
          </w:tcPr>
          <w:p w:rsidR="00353556" w:rsidRPr="00353556" w:rsidRDefault="00353556" w:rsidP="00353556">
            <w:pPr>
              <w:widowControl/>
              <w:jc w:val="center"/>
              <w:rPr>
                <w:rFonts w:cs="Arial"/>
                <w:color w:val="000000"/>
              </w:rPr>
            </w:pPr>
          </w:p>
        </w:tc>
        <w:tc>
          <w:tcPr>
            <w:tcW w:w="1620" w:type="dxa"/>
            <w:tcBorders>
              <w:top w:val="nil"/>
              <w:left w:val="nil"/>
              <w:bottom w:val="nil"/>
              <w:right w:val="nil"/>
            </w:tcBorders>
          </w:tcPr>
          <w:p w:rsidR="00353556" w:rsidRPr="00353556" w:rsidRDefault="00353556" w:rsidP="00353556">
            <w:pPr>
              <w:widowControl/>
              <w:jc w:val="center"/>
              <w:rPr>
                <w:rFonts w:cs="Arial"/>
                <w:color w:val="000000"/>
              </w:rPr>
            </w:pPr>
          </w:p>
        </w:tc>
        <w:tc>
          <w:tcPr>
            <w:tcW w:w="1620" w:type="dxa"/>
            <w:tcBorders>
              <w:top w:val="nil"/>
              <w:left w:val="nil"/>
              <w:bottom w:val="nil"/>
              <w:right w:val="nil"/>
            </w:tcBorders>
          </w:tcPr>
          <w:p w:rsidR="00353556" w:rsidRPr="00353556" w:rsidRDefault="00353556" w:rsidP="00353556">
            <w:pPr>
              <w:widowControl/>
              <w:jc w:val="center"/>
              <w:rPr>
                <w:rFonts w:cs="Arial"/>
                <w:color w:val="000000"/>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307"/>
        </w:trPr>
        <w:tc>
          <w:tcPr>
            <w:tcW w:w="10980" w:type="dxa"/>
            <w:gridSpan w:val="4"/>
            <w:tcBorders>
              <w:top w:val="nil"/>
              <w:left w:val="nil"/>
              <w:bottom w:val="nil"/>
              <w:right w:val="nil"/>
            </w:tcBorders>
          </w:tcPr>
          <w:p w:rsidR="00353556" w:rsidRPr="00353556" w:rsidRDefault="00353556" w:rsidP="00353556">
            <w:pPr>
              <w:widowControl/>
              <w:jc w:val="center"/>
              <w:rPr>
                <w:rFonts w:cs="Arial"/>
                <w:b/>
                <w:bCs/>
                <w:color w:val="000000"/>
                <w:sz w:val="28"/>
                <w:szCs w:val="28"/>
              </w:rPr>
            </w:pPr>
            <w:r w:rsidRPr="00353556">
              <w:rPr>
                <w:rFonts w:cs="Arial"/>
                <w:b/>
                <w:bCs/>
                <w:color w:val="000000"/>
                <w:sz w:val="28"/>
                <w:szCs w:val="28"/>
              </w:rPr>
              <w:t>SOURCES AND USES OF FUNDS</w:t>
            </w: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18"/>
        </w:trPr>
        <w:tc>
          <w:tcPr>
            <w:tcW w:w="6690" w:type="dxa"/>
            <w:tcBorders>
              <w:top w:val="nil"/>
              <w:left w:val="nil"/>
              <w:bottom w:val="nil"/>
              <w:right w:val="nil"/>
            </w:tcBorders>
          </w:tcPr>
          <w:p w:rsidR="00353556" w:rsidRPr="00353556" w:rsidRDefault="00353556" w:rsidP="00353556">
            <w:pPr>
              <w:widowControl/>
              <w:jc w:val="right"/>
              <w:rPr>
                <w:rFonts w:cs="Arial"/>
                <w:color w:val="000000"/>
              </w:rPr>
            </w:pPr>
          </w:p>
        </w:tc>
        <w:tc>
          <w:tcPr>
            <w:tcW w:w="1050" w:type="dxa"/>
            <w:tcBorders>
              <w:top w:val="nil"/>
              <w:left w:val="nil"/>
              <w:bottom w:val="nil"/>
              <w:right w:val="nil"/>
            </w:tcBorders>
          </w:tcPr>
          <w:p w:rsidR="00353556" w:rsidRPr="00353556" w:rsidRDefault="00353556" w:rsidP="00353556">
            <w:pPr>
              <w:widowControl/>
              <w:jc w:val="right"/>
              <w:rPr>
                <w:rFonts w:cs="Arial"/>
                <w:color w:val="000000"/>
              </w:rPr>
            </w:pPr>
          </w:p>
        </w:tc>
        <w:tc>
          <w:tcPr>
            <w:tcW w:w="1620" w:type="dxa"/>
            <w:tcBorders>
              <w:top w:val="nil"/>
              <w:left w:val="nil"/>
              <w:bottom w:val="nil"/>
              <w:right w:val="nil"/>
            </w:tcBorders>
          </w:tcPr>
          <w:p w:rsidR="00353556" w:rsidRPr="00353556" w:rsidRDefault="00353556" w:rsidP="00353556">
            <w:pPr>
              <w:widowControl/>
              <w:jc w:val="right"/>
              <w:rPr>
                <w:rFonts w:cs="Arial"/>
                <w:color w:val="000000"/>
              </w:rPr>
            </w:pPr>
          </w:p>
        </w:tc>
        <w:tc>
          <w:tcPr>
            <w:tcW w:w="1620" w:type="dxa"/>
            <w:tcBorders>
              <w:top w:val="nil"/>
              <w:left w:val="nil"/>
              <w:bottom w:val="nil"/>
              <w:right w:val="nil"/>
            </w:tcBorders>
          </w:tcPr>
          <w:p w:rsidR="00353556" w:rsidRPr="00353556" w:rsidRDefault="00353556" w:rsidP="00353556">
            <w:pPr>
              <w:widowControl/>
              <w:jc w:val="right"/>
              <w:rPr>
                <w:rFonts w:cs="Arial"/>
                <w:color w:val="000000"/>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69"/>
        </w:trPr>
        <w:tc>
          <w:tcPr>
            <w:tcW w:w="6690" w:type="dxa"/>
            <w:tcBorders>
              <w:top w:val="nil"/>
              <w:left w:val="nil"/>
              <w:bottom w:val="nil"/>
              <w:right w:val="nil"/>
            </w:tcBorders>
          </w:tcPr>
          <w:p w:rsidR="00353556" w:rsidRPr="00353556" w:rsidRDefault="00353556" w:rsidP="00353556">
            <w:pPr>
              <w:widowControl/>
              <w:rPr>
                <w:rFonts w:cs="Arial"/>
                <w:b/>
                <w:bCs/>
                <w:color w:val="000000"/>
                <w:sz w:val="24"/>
                <w:szCs w:val="24"/>
              </w:rPr>
            </w:pPr>
            <w:r w:rsidRPr="00353556">
              <w:rPr>
                <w:rFonts w:cs="Arial"/>
                <w:b/>
                <w:bCs/>
                <w:color w:val="000000"/>
                <w:sz w:val="24"/>
                <w:szCs w:val="24"/>
              </w:rPr>
              <w:t>Sources of Funds</w:t>
            </w:r>
          </w:p>
        </w:tc>
        <w:tc>
          <w:tcPr>
            <w:tcW w:w="105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54"/>
        </w:trPr>
        <w:tc>
          <w:tcPr>
            <w:tcW w:w="6690" w:type="dxa"/>
            <w:tcBorders>
              <w:top w:val="nil"/>
              <w:left w:val="nil"/>
              <w:bottom w:val="nil"/>
              <w:right w:val="nil"/>
            </w:tcBorders>
          </w:tcPr>
          <w:p w:rsidR="00353556" w:rsidRPr="00353556" w:rsidRDefault="00353556" w:rsidP="00353556">
            <w:pPr>
              <w:widowControl/>
              <w:ind w:right="-4313"/>
              <w:rPr>
                <w:rFonts w:cs="Arial"/>
                <w:color w:val="000000"/>
                <w:sz w:val="24"/>
                <w:szCs w:val="24"/>
              </w:rPr>
            </w:pPr>
            <w:r w:rsidRPr="00353556">
              <w:rPr>
                <w:rFonts w:cs="Arial"/>
                <w:color w:val="000000"/>
                <w:sz w:val="24"/>
                <w:szCs w:val="24"/>
              </w:rPr>
              <w:t xml:space="preserve">     State of West Virginia Education &amp; General</w:t>
            </w:r>
          </w:p>
        </w:tc>
        <w:tc>
          <w:tcPr>
            <w:tcW w:w="1050" w:type="dxa"/>
            <w:tcBorders>
              <w:top w:val="nil"/>
              <w:left w:val="nil"/>
              <w:bottom w:val="nil"/>
              <w:right w:val="nil"/>
            </w:tcBorders>
          </w:tcPr>
          <w:p w:rsidR="00353556" w:rsidRPr="00353556" w:rsidRDefault="00353556" w:rsidP="00353556">
            <w:pPr>
              <w:widowControl/>
              <w:ind w:left="-4927" w:right="-2336"/>
              <w:jc w:val="right"/>
              <w:rPr>
                <w:rFonts w:cs="Arial"/>
                <w:color w:val="000000"/>
                <w:sz w:val="24"/>
                <w:szCs w:val="24"/>
              </w:rPr>
            </w:pPr>
          </w:p>
        </w:tc>
        <w:tc>
          <w:tcPr>
            <w:tcW w:w="1620" w:type="dxa"/>
            <w:tcBorders>
              <w:top w:val="nil"/>
              <w:left w:val="nil"/>
              <w:bottom w:val="nil"/>
              <w:right w:val="nil"/>
            </w:tcBorders>
          </w:tcPr>
          <w:p w:rsidR="00353556" w:rsidRPr="00353556" w:rsidRDefault="00353556" w:rsidP="00353556">
            <w:pPr>
              <w:widowControl/>
              <w:ind w:left="-6454"/>
              <w:jc w:val="right"/>
              <w:rPr>
                <w:rFonts w:cs="Arial"/>
                <w:color w:val="000000"/>
                <w:sz w:val="24"/>
                <w:szCs w:val="24"/>
              </w:rPr>
            </w:pPr>
            <w:r w:rsidRPr="00353556">
              <w:rPr>
                <w:rFonts w:cs="Arial"/>
                <w:color w:val="000000"/>
                <w:sz w:val="24"/>
                <w:szCs w:val="24"/>
              </w:rPr>
              <w:t xml:space="preserve"> $ 11,039,297 </w:t>
            </w: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54"/>
        </w:trPr>
        <w:tc>
          <w:tcPr>
            <w:tcW w:w="6690" w:type="dxa"/>
            <w:tcBorders>
              <w:top w:val="nil"/>
              <w:left w:val="nil"/>
              <w:bottom w:val="nil"/>
              <w:right w:val="nil"/>
            </w:tcBorders>
          </w:tcPr>
          <w:p w:rsidR="00353556" w:rsidRPr="00353556" w:rsidRDefault="00353556" w:rsidP="00353556">
            <w:pPr>
              <w:widowControl/>
              <w:ind w:right="-3323"/>
              <w:rPr>
                <w:rFonts w:cs="Arial"/>
                <w:color w:val="000000"/>
                <w:sz w:val="24"/>
                <w:szCs w:val="24"/>
              </w:rPr>
            </w:pPr>
            <w:r w:rsidRPr="00353556">
              <w:rPr>
                <w:rFonts w:cs="Arial"/>
                <w:color w:val="000000"/>
                <w:sz w:val="24"/>
                <w:szCs w:val="24"/>
              </w:rPr>
              <w:t xml:space="preserve">          (used for salaries and some fringe </w:t>
            </w:r>
            <w:r>
              <w:rPr>
                <w:rFonts w:cs="Arial"/>
                <w:color w:val="000000"/>
                <w:sz w:val="24"/>
                <w:szCs w:val="24"/>
              </w:rPr>
              <w:t xml:space="preserve"> </w:t>
            </w:r>
            <w:r w:rsidRPr="00353556">
              <w:rPr>
                <w:rFonts w:cs="Arial"/>
                <w:color w:val="000000"/>
                <w:sz w:val="24"/>
                <w:szCs w:val="24"/>
              </w:rPr>
              <w:t>ben</w:t>
            </w:r>
            <w:r>
              <w:rPr>
                <w:rFonts w:cs="Arial"/>
                <w:color w:val="000000"/>
                <w:sz w:val="24"/>
                <w:szCs w:val="24"/>
              </w:rPr>
              <w:t>e</w:t>
            </w:r>
            <w:r w:rsidRPr="00353556">
              <w:rPr>
                <w:rFonts w:cs="Arial"/>
                <w:color w:val="000000"/>
                <w:sz w:val="24"/>
                <w:szCs w:val="24"/>
              </w:rPr>
              <w:t>fits)</w:t>
            </w:r>
          </w:p>
        </w:tc>
        <w:tc>
          <w:tcPr>
            <w:tcW w:w="1050" w:type="dxa"/>
            <w:tcBorders>
              <w:top w:val="nil"/>
              <w:left w:val="nil"/>
              <w:bottom w:val="nil"/>
              <w:right w:val="nil"/>
            </w:tcBorders>
          </w:tcPr>
          <w:p w:rsidR="00353556" w:rsidRPr="00353556" w:rsidRDefault="00353556" w:rsidP="00353556">
            <w:pPr>
              <w:widowControl/>
              <w:ind w:left="-4927" w:right="-1706"/>
              <w:jc w:val="right"/>
              <w:rPr>
                <w:rFonts w:cs="Arial"/>
                <w:color w:val="000000"/>
                <w:sz w:val="24"/>
                <w:szCs w:val="24"/>
              </w:rPr>
            </w:pP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54"/>
        </w:trPr>
        <w:tc>
          <w:tcPr>
            <w:tcW w:w="7740" w:type="dxa"/>
            <w:gridSpan w:val="2"/>
            <w:tcBorders>
              <w:top w:val="nil"/>
              <w:left w:val="nil"/>
              <w:bottom w:val="nil"/>
              <w:right w:val="nil"/>
            </w:tcBorders>
          </w:tcPr>
          <w:p w:rsidR="00353556" w:rsidRPr="00353556" w:rsidRDefault="00353556" w:rsidP="00353556">
            <w:pPr>
              <w:widowControl/>
              <w:rPr>
                <w:rFonts w:cs="Arial"/>
                <w:color w:val="000000"/>
                <w:sz w:val="24"/>
                <w:szCs w:val="24"/>
              </w:rPr>
            </w:pPr>
            <w:r w:rsidRPr="00353556">
              <w:rPr>
                <w:rFonts w:cs="Arial"/>
                <w:color w:val="000000"/>
                <w:sz w:val="24"/>
                <w:szCs w:val="24"/>
              </w:rPr>
              <w:t xml:space="preserve">     College Operations Fees (from student tuition &amp; fees)</w:t>
            </w: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r w:rsidRPr="00353556">
              <w:rPr>
                <w:rFonts w:cs="Arial"/>
                <w:color w:val="000000"/>
                <w:sz w:val="24"/>
                <w:szCs w:val="24"/>
              </w:rPr>
              <w:t xml:space="preserve">783,774           </w:t>
            </w: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54"/>
        </w:trPr>
        <w:tc>
          <w:tcPr>
            <w:tcW w:w="6690" w:type="dxa"/>
            <w:tcBorders>
              <w:top w:val="nil"/>
              <w:left w:val="nil"/>
              <w:bottom w:val="nil"/>
              <w:right w:val="nil"/>
            </w:tcBorders>
          </w:tcPr>
          <w:p w:rsidR="00353556" w:rsidRPr="00353556" w:rsidRDefault="00353556" w:rsidP="00353556">
            <w:pPr>
              <w:widowControl/>
              <w:ind w:right="-4043"/>
              <w:rPr>
                <w:rFonts w:cs="Arial"/>
                <w:color w:val="000000"/>
                <w:sz w:val="24"/>
                <w:szCs w:val="24"/>
              </w:rPr>
            </w:pPr>
            <w:r w:rsidRPr="00353556">
              <w:rPr>
                <w:rFonts w:cs="Arial"/>
                <w:color w:val="000000"/>
                <w:sz w:val="24"/>
                <w:szCs w:val="24"/>
              </w:rPr>
              <w:t xml:space="preserve">          (used for remainder of fringe benefits </w:t>
            </w:r>
            <w:r>
              <w:rPr>
                <w:rFonts w:cs="Arial"/>
                <w:color w:val="000000"/>
                <w:sz w:val="24"/>
                <w:szCs w:val="24"/>
              </w:rPr>
              <w:t xml:space="preserve"> </w:t>
            </w:r>
            <w:r w:rsidRPr="00353556">
              <w:rPr>
                <w:rFonts w:cs="Arial"/>
                <w:color w:val="000000"/>
                <w:sz w:val="24"/>
                <w:szCs w:val="24"/>
              </w:rPr>
              <w:t>and other</w:t>
            </w:r>
          </w:p>
        </w:tc>
        <w:tc>
          <w:tcPr>
            <w:tcW w:w="1050" w:type="dxa"/>
            <w:tcBorders>
              <w:top w:val="nil"/>
              <w:left w:val="nil"/>
              <w:bottom w:val="nil"/>
              <w:right w:val="nil"/>
            </w:tcBorders>
          </w:tcPr>
          <w:p w:rsidR="00353556" w:rsidRPr="00353556" w:rsidRDefault="00353556" w:rsidP="00353556">
            <w:pPr>
              <w:widowControl/>
              <w:ind w:left="-6780" w:right="60"/>
              <w:jc w:val="right"/>
              <w:rPr>
                <w:rFonts w:cs="Arial"/>
                <w:color w:val="000000"/>
                <w:sz w:val="24"/>
                <w:szCs w:val="24"/>
              </w:rPr>
            </w:pP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54"/>
        </w:trPr>
        <w:tc>
          <w:tcPr>
            <w:tcW w:w="6690" w:type="dxa"/>
            <w:tcBorders>
              <w:top w:val="nil"/>
              <w:left w:val="nil"/>
              <w:bottom w:val="nil"/>
              <w:right w:val="nil"/>
            </w:tcBorders>
          </w:tcPr>
          <w:p w:rsidR="00353556" w:rsidRPr="00353556" w:rsidRDefault="00353556" w:rsidP="00353556">
            <w:pPr>
              <w:widowControl/>
              <w:rPr>
                <w:rFonts w:cs="Arial"/>
                <w:color w:val="000000"/>
                <w:sz w:val="24"/>
                <w:szCs w:val="24"/>
              </w:rPr>
            </w:pPr>
            <w:r w:rsidRPr="00353556">
              <w:rPr>
                <w:rFonts w:cs="Arial"/>
                <w:color w:val="000000"/>
                <w:sz w:val="24"/>
                <w:szCs w:val="24"/>
              </w:rPr>
              <w:t xml:space="preserve">           operating expenses)</w:t>
            </w:r>
          </w:p>
        </w:tc>
        <w:tc>
          <w:tcPr>
            <w:tcW w:w="105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54"/>
        </w:trPr>
        <w:tc>
          <w:tcPr>
            <w:tcW w:w="6690" w:type="dxa"/>
            <w:tcBorders>
              <w:top w:val="nil"/>
              <w:left w:val="nil"/>
              <w:bottom w:val="nil"/>
              <w:right w:val="nil"/>
            </w:tcBorders>
          </w:tcPr>
          <w:p w:rsidR="00353556" w:rsidRDefault="00353556" w:rsidP="00353556">
            <w:pPr>
              <w:widowControl/>
              <w:rPr>
                <w:rFonts w:cs="Arial"/>
                <w:color w:val="000000"/>
                <w:sz w:val="24"/>
                <w:szCs w:val="24"/>
              </w:rPr>
            </w:pPr>
            <w:r w:rsidRPr="00353556">
              <w:rPr>
                <w:rFonts w:cs="Arial"/>
                <w:color w:val="000000"/>
                <w:sz w:val="24"/>
                <w:szCs w:val="24"/>
              </w:rPr>
              <w:t xml:space="preserve">     </w:t>
            </w:r>
            <w:r w:rsidR="00D86114" w:rsidRPr="00353556">
              <w:rPr>
                <w:rFonts w:cs="Arial"/>
                <w:color w:val="000000"/>
                <w:sz w:val="24"/>
                <w:szCs w:val="24"/>
              </w:rPr>
              <w:t>Title III-B</w:t>
            </w:r>
          </w:p>
          <w:p w:rsidR="00353556" w:rsidRPr="00353556" w:rsidRDefault="00353556" w:rsidP="00D86114">
            <w:pPr>
              <w:widowControl/>
              <w:tabs>
                <w:tab w:val="left" w:pos="360"/>
              </w:tabs>
              <w:rPr>
                <w:rFonts w:cs="Arial"/>
                <w:color w:val="000000"/>
                <w:sz w:val="24"/>
                <w:szCs w:val="24"/>
              </w:rPr>
            </w:pPr>
            <w:r>
              <w:rPr>
                <w:rFonts w:cs="Arial"/>
                <w:color w:val="000000"/>
                <w:sz w:val="24"/>
                <w:szCs w:val="24"/>
              </w:rPr>
              <w:t xml:space="preserve">     </w:t>
            </w:r>
          </w:p>
        </w:tc>
        <w:tc>
          <w:tcPr>
            <w:tcW w:w="1050" w:type="dxa"/>
            <w:tcBorders>
              <w:top w:val="nil"/>
              <w:left w:val="nil"/>
              <w:bottom w:val="nil"/>
              <w:right w:val="nil"/>
            </w:tcBorders>
          </w:tcPr>
          <w:p w:rsidR="00353556" w:rsidRPr="00353556" w:rsidRDefault="00353556" w:rsidP="00353556">
            <w:pPr>
              <w:widowControl/>
              <w:ind w:left="647"/>
              <w:jc w:val="right"/>
              <w:rPr>
                <w:rFonts w:cs="Arial"/>
                <w:color w:val="000000"/>
                <w:sz w:val="24"/>
                <w:szCs w:val="24"/>
              </w:rPr>
            </w:pPr>
          </w:p>
        </w:tc>
        <w:tc>
          <w:tcPr>
            <w:tcW w:w="1620" w:type="dxa"/>
            <w:tcBorders>
              <w:top w:val="nil"/>
              <w:left w:val="nil"/>
              <w:bottom w:val="nil"/>
              <w:right w:val="nil"/>
            </w:tcBorders>
          </w:tcPr>
          <w:p w:rsidR="00353556" w:rsidRPr="00353556" w:rsidRDefault="00D86114" w:rsidP="00D86114">
            <w:pPr>
              <w:widowControl/>
              <w:jc w:val="right"/>
              <w:rPr>
                <w:rFonts w:cs="Arial"/>
                <w:color w:val="000000"/>
                <w:sz w:val="24"/>
                <w:szCs w:val="24"/>
              </w:rPr>
            </w:pPr>
            <w:r w:rsidRPr="00353556">
              <w:rPr>
                <w:rFonts w:cs="Arial"/>
                <w:color w:val="000000"/>
                <w:sz w:val="24"/>
                <w:szCs w:val="24"/>
              </w:rPr>
              <w:t xml:space="preserve">580,576 </w:t>
            </w:r>
            <w:r w:rsidR="00353556" w:rsidRPr="00353556">
              <w:rPr>
                <w:rFonts w:cs="Arial"/>
                <w:color w:val="000000"/>
                <w:sz w:val="24"/>
                <w:szCs w:val="24"/>
              </w:rPr>
              <w:t xml:space="preserve">          </w:t>
            </w: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54"/>
        </w:trPr>
        <w:tc>
          <w:tcPr>
            <w:tcW w:w="6690" w:type="dxa"/>
            <w:tcBorders>
              <w:top w:val="nil"/>
              <w:left w:val="nil"/>
              <w:bottom w:val="nil"/>
              <w:right w:val="nil"/>
            </w:tcBorders>
          </w:tcPr>
          <w:p w:rsidR="00353556" w:rsidRDefault="00353556" w:rsidP="00353556">
            <w:pPr>
              <w:widowControl/>
              <w:rPr>
                <w:rFonts w:cs="Arial"/>
                <w:color w:val="000000"/>
                <w:sz w:val="24"/>
                <w:szCs w:val="24"/>
              </w:rPr>
            </w:pPr>
            <w:r w:rsidRPr="00353556">
              <w:rPr>
                <w:rFonts w:cs="Arial"/>
                <w:color w:val="000000"/>
                <w:sz w:val="24"/>
                <w:szCs w:val="24"/>
              </w:rPr>
              <w:t xml:space="preserve">     Title III - College Cost Reduction Access Act</w:t>
            </w:r>
          </w:p>
          <w:p w:rsidR="00353556" w:rsidRPr="00353556" w:rsidRDefault="00353556" w:rsidP="00353556">
            <w:pPr>
              <w:widowControl/>
              <w:rPr>
                <w:rFonts w:cs="Arial"/>
                <w:color w:val="000000"/>
                <w:sz w:val="24"/>
                <w:szCs w:val="24"/>
              </w:rPr>
            </w:pPr>
            <w:r>
              <w:rPr>
                <w:rFonts w:cs="Arial"/>
                <w:color w:val="000000"/>
                <w:sz w:val="24"/>
                <w:szCs w:val="24"/>
              </w:rPr>
              <w:t xml:space="preserve">              </w:t>
            </w:r>
            <w:r w:rsidRPr="00353556">
              <w:rPr>
                <w:rFonts w:cs="Arial"/>
                <w:color w:val="000000"/>
                <w:sz w:val="24"/>
                <w:szCs w:val="24"/>
              </w:rPr>
              <w:t>(available for FY 2009 &amp; 2010 only)</w:t>
            </w:r>
          </w:p>
        </w:tc>
        <w:tc>
          <w:tcPr>
            <w:tcW w:w="105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r w:rsidRPr="00353556">
              <w:rPr>
                <w:rFonts w:cs="Arial"/>
                <w:color w:val="000000"/>
                <w:sz w:val="24"/>
                <w:szCs w:val="24"/>
              </w:rPr>
              <w:t xml:space="preserve">861,780           </w:t>
            </w: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54"/>
        </w:trPr>
        <w:tc>
          <w:tcPr>
            <w:tcW w:w="6690" w:type="dxa"/>
            <w:tcBorders>
              <w:top w:val="nil"/>
              <w:left w:val="nil"/>
              <w:bottom w:val="nil"/>
              <w:right w:val="nil"/>
            </w:tcBorders>
          </w:tcPr>
          <w:p w:rsidR="00353556" w:rsidRPr="00353556" w:rsidRDefault="00353556" w:rsidP="00353556">
            <w:pPr>
              <w:widowControl/>
              <w:rPr>
                <w:rFonts w:cs="Arial"/>
                <w:color w:val="000000"/>
                <w:sz w:val="24"/>
                <w:szCs w:val="24"/>
              </w:rPr>
            </w:pPr>
            <w:r>
              <w:rPr>
                <w:rFonts w:cs="Arial"/>
                <w:color w:val="000000"/>
                <w:sz w:val="24"/>
                <w:szCs w:val="24"/>
              </w:rPr>
              <w:t xml:space="preserve">     </w:t>
            </w:r>
            <w:r w:rsidRPr="00353556">
              <w:rPr>
                <w:rFonts w:cs="Arial"/>
                <w:color w:val="000000"/>
                <w:sz w:val="24"/>
                <w:szCs w:val="24"/>
              </w:rPr>
              <w:t>WVSU Foundation</w:t>
            </w:r>
          </w:p>
        </w:tc>
        <w:tc>
          <w:tcPr>
            <w:tcW w:w="105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nil"/>
              <w:right w:val="nil"/>
            </w:tcBorders>
          </w:tcPr>
          <w:p w:rsidR="00353556" w:rsidRPr="00353556" w:rsidRDefault="00D86114" w:rsidP="00353556">
            <w:pPr>
              <w:widowControl/>
              <w:jc w:val="right"/>
              <w:rPr>
                <w:rFonts w:cs="Arial"/>
                <w:color w:val="000000"/>
                <w:sz w:val="24"/>
                <w:szCs w:val="24"/>
              </w:rPr>
            </w:pPr>
            <w:r w:rsidRPr="00353556">
              <w:rPr>
                <w:rFonts w:cs="Arial"/>
                <w:color w:val="000000"/>
                <w:sz w:val="24"/>
                <w:szCs w:val="24"/>
              </w:rPr>
              <w:t>5,000</w:t>
            </w: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54"/>
        </w:trPr>
        <w:tc>
          <w:tcPr>
            <w:tcW w:w="6690" w:type="dxa"/>
            <w:tcBorders>
              <w:top w:val="nil"/>
              <w:left w:val="nil"/>
              <w:bottom w:val="nil"/>
              <w:right w:val="nil"/>
            </w:tcBorders>
          </w:tcPr>
          <w:p w:rsidR="00353556" w:rsidRPr="00353556" w:rsidRDefault="00353556" w:rsidP="00353556">
            <w:pPr>
              <w:widowControl/>
              <w:rPr>
                <w:rFonts w:cs="Arial"/>
                <w:color w:val="000000"/>
                <w:sz w:val="24"/>
                <w:szCs w:val="24"/>
              </w:rPr>
            </w:pPr>
            <w:r w:rsidRPr="00353556">
              <w:rPr>
                <w:rFonts w:cs="Arial"/>
                <w:color w:val="000000"/>
                <w:sz w:val="24"/>
                <w:szCs w:val="24"/>
              </w:rPr>
              <w:t xml:space="preserve">     </w:t>
            </w:r>
            <w:r w:rsidR="00D86114" w:rsidRPr="00353556">
              <w:rPr>
                <w:rFonts w:cs="Arial"/>
                <w:color w:val="000000"/>
                <w:sz w:val="24"/>
                <w:szCs w:val="24"/>
              </w:rPr>
              <w:t>WVSU Research &amp; Development Corporation</w:t>
            </w:r>
          </w:p>
        </w:tc>
        <w:tc>
          <w:tcPr>
            <w:tcW w:w="105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nil"/>
              <w:right w:val="nil"/>
            </w:tcBorders>
          </w:tcPr>
          <w:p w:rsidR="00353556" w:rsidRPr="00353556" w:rsidRDefault="00D86114" w:rsidP="00D86114">
            <w:pPr>
              <w:widowControl/>
              <w:jc w:val="right"/>
              <w:rPr>
                <w:rFonts w:cs="Arial"/>
                <w:color w:val="000000"/>
                <w:sz w:val="24"/>
                <w:szCs w:val="24"/>
              </w:rPr>
            </w:pPr>
            <w:r w:rsidRPr="00353556">
              <w:rPr>
                <w:rFonts w:cs="Arial"/>
                <w:color w:val="000000"/>
                <w:sz w:val="24"/>
                <w:szCs w:val="24"/>
              </w:rPr>
              <w:t xml:space="preserve">10,000 </w:t>
            </w:r>
            <w:r w:rsidR="00353556" w:rsidRPr="00353556">
              <w:rPr>
                <w:rFonts w:cs="Arial"/>
                <w:color w:val="000000"/>
                <w:sz w:val="24"/>
                <w:szCs w:val="24"/>
              </w:rPr>
              <w:t xml:space="preserve">              </w:t>
            </w: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135"/>
        </w:trPr>
        <w:tc>
          <w:tcPr>
            <w:tcW w:w="6690" w:type="dxa"/>
            <w:tcBorders>
              <w:top w:val="nil"/>
              <w:left w:val="nil"/>
              <w:bottom w:val="nil"/>
              <w:right w:val="nil"/>
            </w:tcBorders>
          </w:tcPr>
          <w:p w:rsidR="00353556" w:rsidRPr="00353556" w:rsidRDefault="00353556" w:rsidP="00D86114">
            <w:pPr>
              <w:widowControl/>
              <w:rPr>
                <w:rFonts w:cs="Arial"/>
                <w:color w:val="000000"/>
                <w:sz w:val="24"/>
                <w:szCs w:val="24"/>
              </w:rPr>
            </w:pPr>
            <w:r w:rsidRPr="00353556">
              <w:rPr>
                <w:rFonts w:cs="Arial"/>
                <w:color w:val="000000"/>
                <w:sz w:val="24"/>
                <w:szCs w:val="24"/>
              </w:rPr>
              <w:t xml:space="preserve">     </w:t>
            </w:r>
          </w:p>
        </w:tc>
        <w:tc>
          <w:tcPr>
            <w:tcW w:w="105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single" w:sz="6" w:space="0" w:color="auto"/>
              <w:right w:val="nil"/>
            </w:tcBorders>
          </w:tcPr>
          <w:p w:rsidR="00353556" w:rsidRPr="00353556" w:rsidRDefault="00353556" w:rsidP="00D86114">
            <w:pPr>
              <w:widowControl/>
              <w:jc w:val="right"/>
              <w:rPr>
                <w:rFonts w:cs="Arial"/>
                <w:color w:val="000000"/>
                <w:sz w:val="24"/>
                <w:szCs w:val="24"/>
              </w:rPr>
            </w:pPr>
            <w:r w:rsidRPr="00353556">
              <w:rPr>
                <w:rFonts w:cs="Arial"/>
                <w:color w:val="000000"/>
                <w:sz w:val="24"/>
                <w:szCs w:val="24"/>
              </w:rPr>
              <w:t xml:space="preserve">            </w:t>
            </w: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54"/>
        </w:trPr>
        <w:tc>
          <w:tcPr>
            <w:tcW w:w="669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05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81"/>
        </w:trPr>
        <w:tc>
          <w:tcPr>
            <w:tcW w:w="6690" w:type="dxa"/>
            <w:tcBorders>
              <w:top w:val="nil"/>
              <w:left w:val="nil"/>
              <w:bottom w:val="nil"/>
              <w:right w:val="nil"/>
            </w:tcBorders>
          </w:tcPr>
          <w:p w:rsidR="00353556" w:rsidRPr="00353556" w:rsidRDefault="00353556" w:rsidP="00353556">
            <w:pPr>
              <w:widowControl/>
              <w:rPr>
                <w:rFonts w:cs="Arial"/>
                <w:b/>
                <w:bCs/>
                <w:color w:val="000000"/>
                <w:sz w:val="24"/>
                <w:szCs w:val="24"/>
              </w:rPr>
            </w:pPr>
            <w:r w:rsidRPr="00353556">
              <w:rPr>
                <w:rFonts w:cs="Arial"/>
                <w:b/>
                <w:bCs/>
                <w:color w:val="000000"/>
                <w:sz w:val="24"/>
                <w:szCs w:val="24"/>
              </w:rPr>
              <w:t xml:space="preserve">     Total Sources of Funds</w:t>
            </w:r>
          </w:p>
        </w:tc>
        <w:tc>
          <w:tcPr>
            <w:tcW w:w="1050" w:type="dxa"/>
            <w:tcBorders>
              <w:top w:val="nil"/>
              <w:left w:val="nil"/>
              <w:bottom w:val="nil"/>
              <w:right w:val="nil"/>
            </w:tcBorders>
          </w:tcPr>
          <w:p w:rsidR="00353556" w:rsidRPr="00353556" w:rsidRDefault="00353556" w:rsidP="00353556">
            <w:pPr>
              <w:widowControl/>
              <w:jc w:val="right"/>
              <w:rPr>
                <w:rFonts w:cs="Arial"/>
                <w:b/>
                <w:bCs/>
                <w:color w:val="000000"/>
                <w:sz w:val="24"/>
                <w:szCs w:val="24"/>
              </w:rPr>
            </w:pPr>
          </w:p>
        </w:tc>
        <w:tc>
          <w:tcPr>
            <w:tcW w:w="1620" w:type="dxa"/>
            <w:tcBorders>
              <w:top w:val="nil"/>
              <w:left w:val="nil"/>
              <w:bottom w:val="nil"/>
              <w:right w:val="nil"/>
            </w:tcBorders>
          </w:tcPr>
          <w:p w:rsidR="00353556" w:rsidRPr="00353556" w:rsidRDefault="00353556" w:rsidP="00353556">
            <w:pPr>
              <w:widowControl/>
              <w:jc w:val="right"/>
              <w:rPr>
                <w:rFonts w:cs="Arial"/>
                <w:b/>
                <w:bCs/>
                <w:color w:val="000000"/>
                <w:sz w:val="24"/>
                <w:szCs w:val="24"/>
              </w:rPr>
            </w:pPr>
          </w:p>
        </w:tc>
        <w:tc>
          <w:tcPr>
            <w:tcW w:w="1620" w:type="dxa"/>
            <w:tcBorders>
              <w:top w:val="nil"/>
              <w:left w:val="nil"/>
              <w:bottom w:val="double" w:sz="6" w:space="0" w:color="auto"/>
              <w:right w:val="nil"/>
            </w:tcBorders>
          </w:tcPr>
          <w:p w:rsidR="00353556" w:rsidRPr="00353556" w:rsidRDefault="00353556" w:rsidP="00353556">
            <w:pPr>
              <w:widowControl/>
              <w:jc w:val="right"/>
              <w:rPr>
                <w:rFonts w:cs="Arial"/>
                <w:b/>
                <w:bCs/>
                <w:color w:val="000000"/>
                <w:sz w:val="24"/>
                <w:szCs w:val="24"/>
              </w:rPr>
            </w:pPr>
            <w:r w:rsidRPr="00353556">
              <w:rPr>
                <w:rFonts w:cs="Arial"/>
                <w:b/>
                <w:bCs/>
                <w:color w:val="000000"/>
                <w:sz w:val="24"/>
                <w:szCs w:val="24"/>
              </w:rPr>
              <w:t xml:space="preserve"> $ 13,280,427 </w:t>
            </w: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69"/>
        </w:trPr>
        <w:tc>
          <w:tcPr>
            <w:tcW w:w="669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05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69"/>
        </w:trPr>
        <w:tc>
          <w:tcPr>
            <w:tcW w:w="6690" w:type="dxa"/>
            <w:tcBorders>
              <w:top w:val="nil"/>
              <w:left w:val="nil"/>
              <w:bottom w:val="nil"/>
              <w:right w:val="nil"/>
            </w:tcBorders>
          </w:tcPr>
          <w:p w:rsidR="00353556" w:rsidRPr="00353556" w:rsidRDefault="00353556" w:rsidP="00353556">
            <w:pPr>
              <w:widowControl/>
              <w:rPr>
                <w:rFonts w:cs="Arial"/>
                <w:b/>
                <w:bCs/>
                <w:color w:val="000000"/>
                <w:sz w:val="24"/>
                <w:szCs w:val="24"/>
              </w:rPr>
            </w:pPr>
            <w:r w:rsidRPr="00353556">
              <w:rPr>
                <w:rFonts w:cs="Arial"/>
                <w:b/>
                <w:bCs/>
                <w:color w:val="000000"/>
                <w:sz w:val="24"/>
                <w:szCs w:val="24"/>
              </w:rPr>
              <w:t>Uses of Funds</w:t>
            </w:r>
          </w:p>
        </w:tc>
        <w:tc>
          <w:tcPr>
            <w:tcW w:w="105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nil"/>
              <w:right w:val="nil"/>
            </w:tcBorders>
          </w:tcPr>
          <w:p w:rsidR="00353556" w:rsidRPr="00353556" w:rsidRDefault="00353556" w:rsidP="00D86114">
            <w:pPr>
              <w:widowControl/>
              <w:ind w:right="-394"/>
              <w:jc w:val="right"/>
              <w:rPr>
                <w:rFonts w:cs="Arial"/>
                <w:color w:val="000000"/>
                <w:sz w:val="24"/>
                <w:szCs w:val="24"/>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54"/>
        </w:trPr>
        <w:tc>
          <w:tcPr>
            <w:tcW w:w="6690" w:type="dxa"/>
            <w:tcBorders>
              <w:top w:val="nil"/>
              <w:left w:val="nil"/>
              <w:bottom w:val="nil"/>
              <w:right w:val="nil"/>
            </w:tcBorders>
          </w:tcPr>
          <w:p w:rsidR="00353556" w:rsidRPr="00353556" w:rsidRDefault="00353556" w:rsidP="00353556">
            <w:pPr>
              <w:widowControl/>
              <w:rPr>
                <w:rFonts w:cs="Arial"/>
                <w:color w:val="000000"/>
                <w:sz w:val="24"/>
                <w:szCs w:val="24"/>
              </w:rPr>
            </w:pPr>
            <w:r w:rsidRPr="00353556">
              <w:rPr>
                <w:rFonts w:cs="Arial"/>
                <w:color w:val="000000"/>
                <w:sz w:val="24"/>
                <w:szCs w:val="24"/>
              </w:rPr>
              <w:t xml:space="preserve">     Salaries of personnel in Academic Affairs</w:t>
            </w:r>
          </w:p>
        </w:tc>
        <w:tc>
          <w:tcPr>
            <w:tcW w:w="105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r w:rsidRPr="00353556">
              <w:rPr>
                <w:rFonts w:cs="Arial"/>
                <w:color w:val="000000"/>
                <w:sz w:val="24"/>
                <w:szCs w:val="24"/>
              </w:rPr>
              <w:t xml:space="preserve"> $   9,171,636 </w:t>
            </w: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54"/>
        </w:trPr>
        <w:tc>
          <w:tcPr>
            <w:tcW w:w="6690" w:type="dxa"/>
            <w:tcBorders>
              <w:top w:val="nil"/>
              <w:left w:val="nil"/>
              <w:bottom w:val="nil"/>
              <w:right w:val="nil"/>
            </w:tcBorders>
          </w:tcPr>
          <w:p w:rsidR="00353556" w:rsidRPr="00353556" w:rsidRDefault="00353556" w:rsidP="00353556">
            <w:pPr>
              <w:widowControl/>
              <w:rPr>
                <w:rFonts w:cs="Arial"/>
                <w:color w:val="000000"/>
                <w:sz w:val="24"/>
                <w:szCs w:val="24"/>
              </w:rPr>
            </w:pPr>
            <w:r w:rsidRPr="00353556">
              <w:rPr>
                <w:rFonts w:cs="Arial"/>
                <w:color w:val="000000"/>
                <w:sz w:val="24"/>
                <w:szCs w:val="24"/>
              </w:rPr>
              <w:t xml:space="preserve">     Fringe Benefits</w:t>
            </w:r>
          </w:p>
        </w:tc>
        <w:tc>
          <w:tcPr>
            <w:tcW w:w="105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single" w:sz="6" w:space="0" w:color="auto"/>
              <w:right w:val="nil"/>
            </w:tcBorders>
          </w:tcPr>
          <w:p w:rsidR="00353556" w:rsidRPr="00353556" w:rsidRDefault="00D86114" w:rsidP="00D86114">
            <w:pPr>
              <w:widowControl/>
              <w:jc w:val="right"/>
              <w:rPr>
                <w:rFonts w:cs="Arial"/>
                <w:color w:val="000000"/>
                <w:sz w:val="24"/>
                <w:szCs w:val="24"/>
              </w:rPr>
            </w:pPr>
            <w:r w:rsidRPr="00353556">
              <w:rPr>
                <w:rFonts w:cs="Arial"/>
                <w:color w:val="000000"/>
                <w:sz w:val="24"/>
                <w:szCs w:val="24"/>
              </w:rPr>
              <w:t xml:space="preserve">2,426,025 </w:t>
            </w:r>
            <w:r w:rsidR="00353556" w:rsidRPr="00353556">
              <w:rPr>
                <w:rFonts w:cs="Arial"/>
                <w:color w:val="000000"/>
                <w:sz w:val="24"/>
                <w:szCs w:val="24"/>
              </w:rPr>
              <w:t xml:space="preserve">       </w:t>
            </w: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54"/>
        </w:trPr>
        <w:tc>
          <w:tcPr>
            <w:tcW w:w="6690" w:type="dxa"/>
            <w:tcBorders>
              <w:top w:val="nil"/>
              <w:left w:val="nil"/>
              <w:bottom w:val="nil"/>
              <w:right w:val="nil"/>
            </w:tcBorders>
          </w:tcPr>
          <w:p w:rsidR="00353556" w:rsidRPr="00353556" w:rsidRDefault="00353556" w:rsidP="00353556">
            <w:pPr>
              <w:widowControl/>
              <w:rPr>
                <w:rFonts w:cs="Arial"/>
                <w:color w:val="000000"/>
                <w:sz w:val="24"/>
                <w:szCs w:val="24"/>
              </w:rPr>
            </w:pPr>
            <w:r w:rsidRPr="00353556">
              <w:rPr>
                <w:rFonts w:cs="Arial"/>
                <w:color w:val="000000"/>
                <w:sz w:val="24"/>
                <w:szCs w:val="24"/>
              </w:rPr>
              <w:t xml:space="preserve">     Total Cost of Personnel</w:t>
            </w:r>
          </w:p>
        </w:tc>
        <w:tc>
          <w:tcPr>
            <w:tcW w:w="105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r w:rsidRPr="00353556">
              <w:rPr>
                <w:rFonts w:cs="Arial"/>
                <w:color w:val="000000"/>
                <w:sz w:val="24"/>
                <w:szCs w:val="24"/>
              </w:rPr>
              <w:t xml:space="preserve"> $ 11,597,661 </w:t>
            </w: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54"/>
        </w:trPr>
        <w:tc>
          <w:tcPr>
            <w:tcW w:w="6690" w:type="dxa"/>
            <w:tcBorders>
              <w:top w:val="nil"/>
              <w:left w:val="nil"/>
              <w:bottom w:val="nil"/>
              <w:right w:val="nil"/>
            </w:tcBorders>
          </w:tcPr>
          <w:p w:rsidR="00353556" w:rsidRPr="00353556" w:rsidRDefault="00353556" w:rsidP="00353556">
            <w:pPr>
              <w:widowControl/>
              <w:rPr>
                <w:rFonts w:cs="Arial"/>
                <w:color w:val="000000"/>
                <w:sz w:val="24"/>
                <w:szCs w:val="24"/>
              </w:rPr>
            </w:pPr>
            <w:r w:rsidRPr="00353556">
              <w:rPr>
                <w:rFonts w:cs="Arial"/>
                <w:color w:val="000000"/>
                <w:sz w:val="24"/>
                <w:szCs w:val="24"/>
              </w:rPr>
              <w:t xml:space="preserve">     Library </w:t>
            </w:r>
          </w:p>
        </w:tc>
        <w:tc>
          <w:tcPr>
            <w:tcW w:w="105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nil"/>
              <w:right w:val="nil"/>
            </w:tcBorders>
          </w:tcPr>
          <w:p w:rsidR="00353556" w:rsidRPr="00353556" w:rsidRDefault="00D86114" w:rsidP="00D86114">
            <w:pPr>
              <w:widowControl/>
              <w:jc w:val="right"/>
              <w:rPr>
                <w:rFonts w:cs="Arial"/>
                <w:color w:val="000000"/>
                <w:sz w:val="24"/>
                <w:szCs w:val="24"/>
              </w:rPr>
            </w:pPr>
            <w:r w:rsidRPr="00353556">
              <w:rPr>
                <w:rFonts w:cs="Arial"/>
                <w:color w:val="000000"/>
                <w:sz w:val="24"/>
                <w:szCs w:val="24"/>
              </w:rPr>
              <w:t xml:space="preserve">334,130 </w:t>
            </w:r>
            <w:r w:rsidR="00353556" w:rsidRPr="00353556">
              <w:rPr>
                <w:rFonts w:cs="Arial"/>
                <w:color w:val="000000"/>
                <w:sz w:val="24"/>
                <w:szCs w:val="24"/>
              </w:rPr>
              <w:t xml:space="preserve">          </w:t>
            </w: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54"/>
        </w:trPr>
        <w:tc>
          <w:tcPr>
            <w:tcW w:w="6690" w:type="dxa"/>
            <w:tcBorders>
              <w:top w:val="nil"/>
              <w:left w:val="nil"/>
              <w:bottom w:val="nil"/>
              <w:right w:val="nil"/>
            </w:tcBorders>
          </w:tcPr>
          <w:p w:rsidR="00353556" w:rsidRPr="00353556" w:rsidRDefault="00353556" w:rsidP="00353556">
            <w:pPr>
              <w:widowControl/>
              <w:rPr>
                <w:rFonts w:cs="Arial"/>
                <w:color w:val="000000"/>
                <w:sz w:val="24"/>
                <w:szCs w:val="24"/>
              </w:rPr>
            </w:pPr>
            <w:r w:rsidRPr="00353556">
              <w:rPr>
                <w:rFonts w:cs="Arial"/>
                <w:color w:val="000000"/>
                <w:sz w:val="24"/>
                <w:szCs w:val="24"/>
              </w:rPr>
              <w:t xml:space="preserve">     Equipment &amp; Repairs</w:t>
            </w:r>
          </w:p>
        </w:tc>
        <w:tc>
          <w:tcPr>
            <w:tcW w:w="105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nil"/>
              <w:right w:val="nil"/>
            </w:tcBorders>
          </w:tcPr>
          <w:p w:rsidR="00353556" w:rsidRPr="00353556" w:rsidRDefault="00D86114" w:rsidP="00D86114">
            <w:pPr>
              <w:widowControl/>
              <w:jc w:val="right"/>
              <w:rPr>
                <w:rFonts w:cs="Arial"/>
                <w:color w:val="000000"/>
                <w:sz w:val="24"/>
                <w:szCs w:val="24"/>
              </w:rPr>
            </w:pPr>
            <w:r w:rsidRPr="00353556">
              <w:rPr>
                <w:rFonts w:cs="Arial"/>
                <w:color w:val="000000"/>
                <w:sz w:val="24"/>
                <w:szCs w:val="24"/>
              </w:rPr>
              <w:t xml:space="preserve">668,641 </w:t>
            </w:r>
            <w:r w:rsidR="00353556" w:rsidRPr="00353556">
              <w:rPr>
                <w:rFonts w:cs="Arial"/>
                <w:color w:val="000000"/>
                <w:sz w:val="24"/>
                <w:szCs w:val="24"/>
              </w:rPr>
              <w:t xml:space="preserve">          </w:t>
            </w: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54"/>
        </w:trPr>
        <w:tc>
          <w:tcPr>
            <w:tcW w:w="6690" w:type="dxa"/>
            <w:tcBorders>
              <w:top w:val="nil"/>
              <w:left w:val="nil"/>
              <w:bottom w:val="nil"/>
              <w:right w:val="nil"/>
            </w:tcBorders>
          </w:tcPr>
          <w:p w:rsidR="00353556" w:rsidRPr="00353556" w:rsidRDefault="00353556" w:rsidP="00353556">
            <w:pPr>
              <w:widowControl/>
              <w:rPr>
                <w:rFonts w:cs="Arial"/>
                <w:color w:val="000000"/>
                <w:sz w:val="24"/>
                <w:szCs w:val="24"/>
              </w:rPr>
            </w:pPr>
            <w:r w:rsidRPr="00353556">
              <w:rPr>
                <w:rFonts w:cs="Arial"/>
                <w:color w:val="000000"/>
                <w:sz w:val="24"/>
                <w:szCs w:val="24"/>
              </w:rPr>
              <w:t xml:space="preserve">     Contractual, Consultants, Other</w:t>
            </w:r>
          </w:p>
        </w:tc>
        <w:tc>
          <w:tcPr>
            <w:tcW w:w="105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nil"/>
              <w:right w:val="nil"/>
            </w:tcBorders>
          </w:tcPr>
          <w:p w:rsidR="00353556" w:rsidRPr="00353556" w:rsidRDefault="00D86114" w:rsidP="00D86114">
            <w:pPr>
              <w:widowControl/>
              <w:jc w:val="right"/>
              <w:rPr>
                <w:rFonts w:cs="Arial"/>
                <w:color w:val="000000"/>
                <w:sz w:val="24"/>
                <w:szCs w:val="24"/>
              </w:rPr>
            </w:pPr>
            <w:r w:rsidRPr="00353556">
              <w:rPr>
                <w:rFonts w:cs="Arial"/>
                <w:color w:val="000000"/>
                <w:sz w:val="24"/>
                <w:szCs w:val="24"/>
              </w:rPr>
              <w:t xml:space="preserve">116,970 </w:t>
            </w:r>
            <w:r w:rsidR="00353556" w:rsidRPr="00353556">
              <w:rPr>
                <w:rFonts w:cs="Arial"/>
                <w:color w:val="000000"/>
                <w:sz w:val="24"/>
                <w:szCs w:val="24"/>
              </w:rPr>
              <w:t xml:space="preserve">          </w:t>
            </w: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54"/>
        </w:trPr>
        <w:tc>
          <w:tcPr>
            <w:tcW w:w="6690" w:type="dxa"/>
            <w:tcBorders>
              <w:top w:val="nil"/>
              <w:left w:val="nil"/>
              <w:bottom w:val="nil"/>
              <w:right w:val="nil"/>
            </w:tcBorders>
          </w:tcPr>
          <w:p w:rsidR="00353556" w:rsidRPr="00353556" w:rsidRDefault="00353556" w:rsidP="00353556">
            <w:pPr>
              <w:widowControl/>
              <w:rPr>
                <w:rFonts w:cs="Arial"/>
                <w:color w:val="000000"/>
                <w:sz w:val="24"/>
                <w:szCs w:val="24"/>
              </w:rPr>
            </w:pPr>
            <w:r w:rsidRPr="00353556">
              <w:rPr>
                <w:rFonts w:cs="Arial"/>
                <w:color w:val="000000"/>
                <w:sz w:val="24"/>
                <w:szCs w:val="24"/>
              </w:rPr>
              <w:t xml:space="preserve">     Office Expenses (paper, supplies, etc.)</w:t>
            </w:r>
          </w:p>
        </w:tc>
        <w:tc>
          <w:tcPr>
            <w:tcW w:w="105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nil"/>
              <w:right w:val="nil"/>
            </w:tcBorders>
          </w:tcPr>
          <w:p w:rsidR="00353556" w:rsidRPr="00353556" w:rsidRDefault="00D86114" w:rsidP="00D86114">
            <w:pPr>
              <w:widowControl/>
              <w:jc w:val="right"/>
              <w:rPr>
                <w:rFonts w:cs="Arial"/>
                <w:color w:val="000000"/>
                <w:sz w:val="24"/>
                <w:szCs w:val="24"/>
              </w:rPr>
            </w:pPr>
            <w:r w:rsidRPr="00353556">
              <w:rPr>
                <w:rFonts w:cs="Arial"/>
                <w:color w:val="000000"/>
                <w:sz w:val="24"/>
                <w:szCs w:val="24"/>
              </w:rPr>
              <w:t xml:space="preserve">179,000 </w:t>
            </w:r>
            <w:r w:rsidR="00353556" w:rsidRPr="00353556">
              <w:rPr>
                <w:rFonts w:cs="Arial"/>
                <w:color w:val="000000"/>
                <w:sz w:val="24"/>
                <w:szCs w:val="24"/>
              </w:rPr>
              <w:t xml:space="preserve">          </w:t>
            </w: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54"/>
        </w:trPr>
        <w:tc>
          <w:tcPr>
            <w:tcW w:w="6690" w:type="dxa"/>
            <w:tcBorders>
              <w:top w:val="nil"/>
              <w:left w:val="nil"/>
              <w:bottom w:val="nil"/>
              <w:right w:val="nil"/>
            </w:tcBorders>
          </w:tcPr>
          <w:p w:rsidR="00353556" w:rsidRPr="00353556" w:rsidRDefault="00353556" w:rsidP="00353556">
            <w:pPr>
              <w:widowControl/>
              <w:rPr>
                <w:rFonts w:cs="Arial"/>
                <w:color w:val="000000"/>
                <w:sz w:val="24"/>
                <w:szCs w:val="24"/>
              </w:rPr>
            </w:pPr>
            <w:r w:rsidRPr="00353556">
              <w:rPr>
                <w:rFonts w:cs="Arial"/>
                <w:color w:val="000000"/>
                <w:sz w:val="24"/>
                <w:szCs w:val="24"/>
              </w:rPr>
              <w:t xml:space="preserve">     Student Employment</w:t>
            </w:r>
          </w:p>
        </w:tc>
        <w:tc>
          <w:tcPr>
            <w:tcW w:w="105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nil"/>
              <w:right w:val="nil"/>
            </w:tcBorders>
          </w:tcPr>
          <w:p w:rsidR="00353556" w:rsidRPr="00353556" w:rsidRDefault="00D86114" w:rsidP="00D86114">
            <w:pPr>
              <w:widowControl/>
              <w:jc w:val="right"/>
              <w:rPr>
                <w:rFonts w:cs="Arial"/>
                <w:color w:val="000000"/>
                <w:sz w:val="24"/>
                <w:szCs w:val="24"/>
              </w:rPr>
            </w:pPr>
            <w:r w:rsidRPr="00353556">
              <w:rPr>
                <w:rFonts w:cs="Arial"/>
                <w:color w:val="000000"/>
                <w:sz w:val="24"/>
                <w:szCs w:val="24"/>
              </w:rPr>
              <w:t xml:space="preserve">77,000 </w:t>
            </w:r>
            <w:r w:rsidR="00353556" w:rsidRPr="00353556">
              <w:rPr>
                <w:rFonts w:cs="Arial"/>
                <w:color w:val="000000"/>
                <w:sz w:val="24"/>
                <w:szCs w:val="24"/>
              </w:rPr>
              <w:t xml:space="preserve">            </w:t>
            </w: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54"/>
        </w:trPr>
        <w:tc>
          <w:tcPr>
            <w:tcW w:w="6690" w:type="dxa"/>
            <w:tcBorders>
              <w:top w:val="nil"/>
              <w:left w:val="nil"/>
              <w:bottom w:val="nil"/>
              <w:right w:val="nil"/>
            </w:tcBorders>
          </w:tcPr>
          <w:p w:rsidR="00353556" w:rsidRPr="00353556" w:rsidRDefault="00353556" w:rsidP="00353556">
            <w:pPr>
              <w:widowControl/>
              <w:rPr>
                <w:rFonts w:cs="Arial"/>
                <w:color w:val="000000"/>
                <w:sz w:val="24"/>
                <w:szCs w:val="24"/>
              </w:rPr>
            </w:pPr>
            <w:r w:rsidRPr="00353556">
              <w:rPr>
                <w:rFonts w:cs="Arial"/>
                <w:color w:val="000000"/>
                <w:sz w:val="24"/>
                <w:szCs w:val="24"/>
              </w:rPr>
              <w:t xml:space="preserve">     Travel</w:t>
            </w:r>
          </w:p>
        </w:tc>
        <w:tc>
          <w:tcPr>
            <w:tcW w:w="105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nil"/>
              <w:right w:val="nil"/>
            </w:tcBorders>
          </w:tcPr>
          <w:p w:rsidR="00353556" w:rsidRPr="00353556" w:rsidRDefault="00D86114" w:rsidP="00D86114">
            <w:pPr>
              <w:widowControl/>
              <w:jc w:val="right"/>
              <w:rPr>
                <w:rFonts w:cs="Arial"/>
                <w:color w:val="000000"/>
                <w:sz w:val="24"/>
                <w:szCs w:val="24"/>
              </w:rPr>
            </w:pPr>
            <w:r w:rsidRPr="00353556">
              <w:rPr>
                <w:rFonts w:cs="Arial"/>
                <w:color w:val="000000"/>
                <w:sz w:val="24"/>
                <w:szCs w:val="24"/>
              </w:rPr>
              <w:t xml:space="preserve">47,500 </w:t>
            </w:r>
            <w:r w:rsidR="00353556" w:rsidRPr="00353556">
              <w:rPr>
                <w:rFonts w:cs="Arial"/>
                <w:color w:val="000000"/>
                <w:sz w:val="24"/>
                <w:szCs w:val="24"/>
              </w:rPr>
              <w:t xml:space="preserve">            </w:t>
            </w: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54"/>
        </w:trPr>
        <w:tc>
          <w:tcPr>
            <w:tcW w:w="6690" w:type="dxa"/>
            <w:tcBorders>
              <w:top w:val="nil"/>
              <w:left w:val="nil"/>
              <w:bottom w:val="nil"/>
              <w:right w:val="nil"/>
            </w:tcBorders>
          </w:tcPr>
          <w:p w:rsidR="00353556" w:rsidRPr="00353556" w:rsidRDefault="00353556" w:rsidP="00353556">
            <w:pPr>
              <w:widowControl/>
              <w:rPr>
                <w:rFonts w:cs="Arial"/>
                <w:color w:val="000000"/>
                <w:sz w:val="24"/>
                <w:szCs w:val="24"/>
              </w:rPr>
            </w:pPr>
            <w:r w:rsidRPr="00353556">
              <w:rPr>
                <w:rFonts w:cs="Arial"/>
                <w:color w:val="000000"/>
                <w:sz w:val="24"/>
                <w:szCs w:val="24"/>
              </w:rPr>
              <w:t xml:space="preserve">     Hourly temporary costs</w:t>
            </w:r>
          </w:p>
        </w:tc>
        <w:tc>
          <w:tcPr>
            <w:tcW w:w="105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nil"/>
              <w:right w:val="nil"/>
            </w:tcBorders>
          </w:tcPr>
          <w:p w:rsidR="00353556" w:rsidRPr="00353556" w:rsidRDefault="00D86114" w:rsidP="00D86114">
            <w:pPr>
              <w:widowControl/>
              <w:jc w:val="right"/>
              <w:rPr>
                <w:rFonts w:cs="Arial"/>
                <w:color w:val="000000"/>
                <w:sz w:val="24"/>
                <w:szCs w:val="24"/>
              </w:rPr>
            </w:pPr>
            <w:r w:rsidRPr="00353556">
              <w:rPr>
                <w:rFonts w:cs="Arial"/>
                <w:color w:val="000000"/>
                <w:sz w:val="24"/>
                <w:szCs w:val="24"/>
              </w:rPr>
              <w:t>92,450</w:t>
            </w:r>
            <w:r w:rsidR="00353556" w:rsidRPr="00353556">
              <w:rPr>
                <w:rFonts w:cs="Arial"/>
                <w:color w:val="000000"/>
                <w:sz w:val="24"/>
                <w:szCs w:val="24"/>
              </w:rPr>
              <w:t xml:space="preserve">            </w:t>
            </w: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54"/>
        </w:trPr>
        <w:tc>
          <w:tcPr>
            <w:tcW w:w="6690" w:type="dxa"/>
            <w:tcBorders>
              <w:top w:val="nil"/>
              <w:left w:val="nil"/>
              <w:bottom w:val="nil"/>
              <w:right w:val="nil"/>
            </w:tcBorders>
          </w:tcPr>
          <w:p w:rsidR="00353556" w:rsidRPr="00353556" w:rsidRDefault="00353556" w:rsidP="00353556">
            <w:pPr>
              <w:widowControl/>
              <w:rPr>
                <w:rFonts w:cs="Arial"/>
                <w:color w:val="000000"/>
                <w:sz w:val="24"/>
                <w:szCs w:val="24"/>
              </w:rPr>
            </w:pPr>
            <w:r w:rsidRPr="00353556">
              <w:rPr>
                <w:rFonts w:cs="Arial"/>
                <w:color w:val="000000"/>
                <w:sz w:val="24"/>
                <w:szCs w:val="24"/>
              </w:rPr>
              <w:t xml:space="preserve">     Association Dues</w:t>
            </w:r>
          </w:p>
        </w:tc>
        <w:tc>
          <w:tcPr>
            <w:tcW w:w="105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nil"/>
              <w:right w:val="nil"/>
            </w:tcBorders>
          </w:tcPr>
          <w:p w:rsidR="00353556" w:rsidRPr="00353556" w:rsidRDefault="00D86114" w:rsidP="00D86114">
            <w:pPr>
              <w:widowControl/>
              <w:jc w:val="right"/>
              <w:rPr>
                <w:rFonts w:cs="Arial"/>
                <w:color w:val="000000"/>
                <w:sz w:val="24"/>
                <w:szCs w:val="24"/>
              </w:rPr>
            </w:pPr>
            <w:r w:rsidRPr="00353556">
              <w:rPr>
                <w:rFonts w:cs="Arial"/>
                <w:color w:val="000000"/>
                <w:sz w:val="24"/>
                <w:szCs w:val="24"/>
              </w:rPr>
              <w:t xml:space="preserve">13,000 </w:t>
            </w:r>
            <w:r w:rsidR="00353556" w:rsidRPr="00353556">
              <w:rPr>
                <w:rFonts w:cs="Arial"/>
                <w:color w:val="000000"/>
                <w:sz w:val="24"/>
                <w:szCs w:val="24"/>
              </w:rPr>
              <w:t xml:space="preserve">            </w:t>
            </w: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54"/>
        </w:trPr>
        <w:tc>
          <w:tcPr>
            <w:tcW w:w="6690" w:type="dxa"/>
            <w:tcBorders>
              <w:top w:val="nil"/>
              <w:left w:val="nil"/>
              <w:bottom w:val="nil"/>
              <w:right w:val="nil"/>
            </w:tcBorders>
          </w:tcPr>
          <w:p w:rsidR="00353556" w:rsidRPr="00353556" w:rsidRDefault="00353556" w:rsidP="00353556">
            <w:pPr>
              <w:widowControl/>
              <w:rPr>
                <w:rFonts w:cs="Arial"/>
                <w:color w:val="000000"/>
                <w:sz w:val="24"/>
                <w:szCs w:val="24"/>
              </w:rPr>
            </w:pPr>
            <w:r w:rsidRPr="00353556">
              <w:rPr>
                <w:rFonts w:cs="Arial"/>
                <w:color w:val="000000"/>
                <w:sz w:val="24"/>
                <w:szCs w:val="24"/>
              </w:rPr>
              <w:t xml:space="preserve">     Registration (additional full-time employee)</w:t>
            </w:r>
          </w:p>
        </w:tc>
        <w:tc>
          <w:tcPr>
            <w:tcW w:w="105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nil"/>
              <w:right w:val="nil"/>
            </w:tcBorders>
          </w:tcPr>
          <w:p w:rsidR="00353556" w:rsidRPr="00353556" w:rsidRDefault="00D86114" w:rsidP="00D86114">
            <w:pPr>
              <w:widowControl/>
              <w:jc w:val="right"/>
              <w:rPr>
                <w:rFonts w:cs="Arial"/>
                <w:color w:val="000000"/>
                <w:sz w:val="24"/>
                <w:szCs w:val="24"/>
              </w:rPr>
            </w:pPr>
            <w:r w:rsidRPr="00353556">
              <w:rPr>
                <w:rFonts w:cs="Arial"/>
                <w:color w:val="000000"/>
                <w:sz w:val="24"/>
                <w:szCs w:val="24"/>
              </w:rPr>
              <w:t xml:space="preserve">31,875 </w:t>
            </w:r>
            <w:r w:rsidR="00353556" w:rsidRPr="00353556">
              <w:rPr>
                <w:rFonts w:cs="Arial"/>
                <w:color w:val="000000"/>
                <w:sz w:val="24"/>
                <w:szCs w:val="24"/>
              </w:rPr>
              <w:t xml:space="preserve">            </w:t>
            </w: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54"/>
        </w:trPr>
        <w:tc>
          <w:tcPr>
            <w:tcW w:w="6690" w:type="dxa"/>
            <w:tcBorders>
              <w:top w:val="nil"/>
              <w:left w:val="nil"/>
              <w:bottom w:val="nil"/>
              <w:right w:val="nil"/>
            </w:tcBorders>
          </w:tcPr>
          <w:p w:rsidR="00353556" w:rsidRPr="00353556" w:rsidRDefault="00353556" w:rsidP="00353556">
            <w:pPr>
              <w:widowControl/>
              <w:rPr>
                <w:rFonts w:cs="Arial"/>
                <w:color w:val="000000"/>
                <w:sz w:val="24"/>
                <w:szCs w:val="24"/>
              </w:rPr>
            </w:pPr>
            <w:r w:rsidRPr="00353556">
              <w:rPr>
                <w:rFonts w:cs="Arial"/>
                <w:color w:val="000000"/>
                <w:sz w:val="24"/>
                <w:szCs w:val="24"/>
              </w:rPr>
              <w:t xml:space="preserve">     Accreditation</w:t>
            </w:r>
          </w:p>
        </w:tc>
        <w:tc>
          <w:tcPr>
            <w:tcW w:w="105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nil"/>
              <w:right w:val="nil"/>
            </w:tcBorders>
          </w:tcPr>
          <w:p w:rsidR="00353556" w:rsidRPr="00353556" w:rsidRDefault="00D86114" w:rsidP="00D86114">
            <w:pPr>
              <w:widowControl/>
              <w:jc w:val="right"/>
              <w:rPr>
                <w:rFonts w:cs="Arial"/>
                <w:color w:val="000000"/>
                <w:sz w:val="24"/>
                <w:szCs w:val="24"/>
              </w:rPr>
            </w:pPr>
            <w:r w:rsidRPr="00353556">
              <w:rPr>
                <w:rFonts w:cs="Arial"/>
                <w:color w:val="000000"/>
                <w:sz w:val="24"/>
                <w:szCs w:val="24"/>
              </w:rPr>
              <w:t xml:space="preserve">20,000 </w:t>
            </w:r>
            <w:r w:rsidR="00353556" w:rsidRPr="00353556">
              <w:rPr>
                <w:rFonts w:cs="Arial"/>
                <w:color w:val="000000"/>
                <w:sz w:val="24"/>
                <w:szCs w:val="24"/>
              </w:rPr>
              <w:t xml:space="preserve">            </w:t>
            </w: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54"/>
        </w:trPr>
        <w:tc>
          <w:tcPr>
            <w:tcW w:w="6690" w:type="dxa"/>
            <w:tcBorders>
              <w:top w:val="nil"/>
              <w:left w:val="nil"/>
              <w:bottom w:val="nil"/>
              <w:right w:val="nil"/>
            </w:tcBorders>
          </w:tcPr>
          <w:p w:rsidR="00353556" w:rsidRPr="00353556" w:rsidRDefault="00353556" w:rsidP="00353556">
            <w:pPr>
              <w:widowControl/>
              <w:rPr>
                <w:rFonts w:cs="Arial"/>
                <w:color w:val="000000"/>
                <w:sz w:val="24"/>
                <w:szCs w:val="24"/>
              </w:rPr>
            </w:pPr>
            <w:r w:rsidRPr="00353556">
              <w:rPr>
                <w:rFonts w:cs="Arial"/>
                <w:color w:val="000000"/>
                <w:sz w:val="24"/>
                <w:szCs w:val="24"/>
              </w:rPr>
              <w:t xml:space="preserve">     Obligatory matches:</w:t>
            </w:r>
          </w:p>
        </w:tc>
        <w:tc>
          <w:tcPr>
            <w:tcW w:w="105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54"/>
        </w:trPr>
        <w:tc>
          <w:tcPr>
            <w:tcW w:w="6690" w:type="dxa"/>
            <w:tcBorders>
              <w:top w:val="nil"/>
              <w:left w:val="nil"/>
              <w:bottom w:val="nil"/>
              <w:right w:val="nil"/>
            </w:tcBorders>
          </w:tcPr>
          <w:p w:rsidR="00353556" w:rsidRPr="00353556" w:rsidRDefault="00353556" w:rsidP="00353556">
            <w:pPr>
              <w:widowControl/>
              <w:rPr>
                <w:rFonts w:cs="Arial"/>
                <w:color w:val="000000"/>
                <w:sz w:val="24"/>
                <w:szCs w:val="24"/>
              </w:rPr>
            </w:pPr>
            <w:r w:rsidRPr="00353556">
              <w:rPr>
                <w:rFonts w:cs="Arial"/>
                <w:color w:val="000000"/>
                <w:sz w:val="24"/>
                <w:szCs w:val="24"/>
              </w:rPr>
              <w:t xml:space="preserve">          Work Study Student Labor</w:t>
            </w:r>
          </w:p>
        </w:tc>
        <w:tc>
          <w:tcPr>
            <w:tcW w:w="1050" w:type="dxa"/>
            <w:tcBorders>
              <w:top w:val="nil"/>
              <w:left w:val="nil"/>
              <w:bottom w:val="nil"/>
              <w:right w:val="nil"/>
            </w:tcBorders>
          </w:tcPr>
          <w:p w:rsidR="00353556" w:rsidRPr="00353556" w:rsidRDefault="00D86114" w:rsidP="00D86114">
            <w:pPr>
              <w:widowControl/>
              <w:jc w:val="right"/>
              <w:rPr>
                <w:rFonts w:cs="Arial"/>
                <w:color w:val="000000"/>
                <w:sz w:val="24"/>
                <w:szCs w:val="24"/>
              </w:rPr>
            </w:pPr>
            <w:r w:rsidRPr="00353556">
              <w:rPr>
                <w:rFonts w:cs="Arial"/>
                <w:color w:val="000000"/>
                <w:sz w:val="24"/>
                <w:szCs w:val="24"/>
              </w:rPr>
              <w:t xml:space="preserve">$10,000 </w:t>
            </w:r>
            <w:r w:rsidR="00353556" w:rsidRPr="00353556">
              <w:rPr>
                <w:rFonts w:cs="Arial"/>
                <w:color w:val="000000"/>
                <w:sz w:val="24"/>
                <w:szCs w:val="24"/>
              </w:rPr>
              <w:t xml:space="preserve">         </w:t>
            </w:r>
            <w:r w:rsidRPr="00353556">
              <w:rPr>
                <w:rFonts w:cs="Arial"/>
                <w:color w:val="000000"/>
                <w:sz w:val="24"/>
                <w:szCs w:val="24"/>
              </w:rPr>
              <w:t xml:space="preserve"> </w:t>
            </w: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54"/>
        </w:trPr>
        <w:tc>
          <w:tcPr>
            <w:tcW w:w="6690" w:type="dxa"/>
            <w:tcBorders>
              <w:top w:val="nil"/>
              <w:left w:val="nil"/>
              <w:bottom w:val="nil"/>
              <w:right w:val="nil"/>
            </w:tcBorders>
          </w:tcPr>
          <w:p w:rsidR="00353556" w:rsidRPr="00353556" w:rsidRDefault="00353556" w:rsidP="00353556">
            <w:pPr>
              <w:widowControl/>
              <w:rPr>
                <w:rFonts w:cs="Arial"/>
                <w:color w:val="000000"/>
                <w:sz w:val="24"/>
                <w:szCs w:val="24"/>
              </w:rPr>
            </w:pPr>
            <w:r w:rsidRPr="00353556">
              <w:rPr>
                <w:rFonts w:cs="Arial"/>
                <w:color w:val="000000"/>
                <w:sz w:val="24"/>
                <w:szCs w:val="24"/>
              </w:rPr>
              <w:t xml:space="preserve">          Beginning Teachers Program</w:t>
            </w:r>
          </w:p>
        </w:tc>
        <w:tc>
          <w:tcPr>
            <w:tcW w:w="1050" w:type="dxa"/>
            <w:tcBorders>
              <w:top w:val="nil"/>
              <w:left w:val="nil"/>
              <w:bottom w:val="single" w:sz="6" w:space="0" w:color="auto"/>
              <w:right w:val="nil"/>
            </w:tcBorders>
          </w:tcPr>
          <w:p w:rsidR="00353556" w:rsidRPr="00353556" w:rsidRDefault="00D86114" w:rsidP="00D86114">
            <w:pPr>
              <w:widowControl/>
              <w:jc w:val="right"/>
              <w:rPr>
                <w:rFonts w:cs="Arial"/>
                <w:color w:val="000000"/>
                <w:sz w:val="24"/>
                <w:szCs w:val="24"/>
              </w:rPr>
            </w:pPr>
            <w:r w:rsidRPr="00353556">
              <w:rPr>
                <w:rFonts w:cs="Arial"/>
                <w:color w:val="000000"/>
                <w:sz w:val="24"/>
                <w:szCs w:val="24"/>
              </w:rPr>
              <w:t xml:space="preserve">6,500 </w:t>
            </w:r>
            <w:r w:rsidR="00353556" w:rsidRPr="00353556">
              <w:rPr>
                <w:rFonts w:cs="Arial"/>
                <w:color w:val="000000"/>
                <w:sz w:val="24"/>
                <w:szCs w:val="24"/>
              </w:rPr>
              <w:t xml:space="preserve">              </w:t>
            </w:r>
          </w:p>
        </w:tc>
        <w:tc>
          <w:tcPr>
            <w:tcW w:w="1620" w:type="dxa"/>
            <w:tcBorders>
              <w:top w:val="nil"/>
              <w:left w:val="nil"/>
              <w:bottom w:val="nil"/>
              <w:right w:val="nil"/>
            </w:tcBorders>
          </w:tcPr>
          <w:p w:rsidR="00353556" w:rsidRPr="00353556" w:rsidRDefault="00D86114" w:rsidP="00D86114">
            <w:pPr>
              <w:widowControl/>
              <w:jc w:val="right"/>
              <w:rPr>
                <w:rFonts w:cs="Arial"/>
                <w:color w:val="000000"/>
                <w:sz w:val="24"/>
                <w:szCs w:val="24"/>
              </w:rPr>
            </w:pPr>
            <w:r w:rsidRPr="00353556">
              <w:rPr>
                <w:rFonts w:cs="Arial"/>
                <w:color w:val="000000"/>
                <w:sz w:val="24"/>
                <w:szCs w:val="24"/>
              </w:rPr>
              <w:t xml:space="preserve">16,500 </w:t>
            </w:r>
            <w:r w:rsidR="00353556" w:rsidRPr="00353556">
              <w:rPr>
                <w:rFonts w:cs="Arial"/>
                <w:color w:val="000000"/>
                <w:sz w:val="24"/>
                <w:szCs w:val="24"/>
              </w:rPr>
              <w:t xml:space="preserve">            </w:t>
            </w: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54"/>
        </w:trPr>
        <w:tc>
          <w:tcPr>
            <w:tcW w:w="6690" w:type="dxa"/>
            <w:tcBorders>
              <w:top w:val="nil"/>
              <w:left w:val="nil"/>
              <w:bottom w:val="nil"/>
              <w:right w:val="nil"/>
            </w:tcBorders>
          </w:tcPr>
          <w:p w:rsidR="00353556" w:rsidRPr="00353556" w:rsidRDefault="00353556" w:rsidP="00353556">
            <w:pPr>
              <w:widowControl/>
              <w:rPr>
                <w:rFonts w:cs="Arial"/>
                <w:color w:val="000000"/>
                <w:sz w:val="24"/>
                <w:szCs w:val="24"/>
              </w:rPr>
            </w:pPr>
            <w:r w:rsidRPr="00353556">
              <w:rPr>
                <w:rFonts w:cs="Arial"/>
                <w:color w:val="000000"/>
                <w:sz w:val="24"/>
                <w:szCs w:val="24"/>
              </w:rPr>
              <w:t xml:space="preserve">     Public Relations &amp; Advertising</w:t>
            </w:r>
          </w:p>
        </w:tc>
        <w:tc>
          <w:tcPr>
            <w:tcW w:w="105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nil"/>
              <w:right w:val="nil"/>
            </w:tcBorders>
          </w:tcPr>
          <w:p w:rsidR="00353556" w:rsidRPr="00353556" w:rsidRDefault="00D86114" w:rsidP="00D86114">
            <w:pPr>
              <w:widowControl/>
              <w:jc w:val="right"/>
              <w:rPr>
                <w:rFonts w:cs="Arial"/>
                <w:color w:val="000000"/>
                <w:sz w:val="24"/>
                <w:szCs w:val="24"/>
              </w:rPr>
            </w:pPr>
            <w:r w:rsidRPr="00353556">
              <w:rPr>
                <w:rFonts w:cs="Arial"/>
                <w:color w:val="000000"/>
                <w:sz w:val="24"/>
                <w:szCs w:val="24"/>
              </w:rPr>
              <w:t xml:space="preserve">13,200 </w:t>
            </w:r>
            <w:r w:rsidR="00353556" w:rsidRPr="00353556">
              <w:rPr>
                <w:rFonts w:cs="Arial"/>
                <w:color w:val="000000"/>
                <w:sz w:val="24"/>
                <w:szCs w:val="24"/>
              </w:rPr>
              <w:t xml:space="preserve">            </w:t>
            </w: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54"/>
        </w:trPr>
        <w:tc>
          <w:tcPr>
            <w:tcW w:w="6690" w:type="dxa"/>
            <w:tcBorders>
              <w:top w:val="nil"/>
              <w:left w:val="nil"/>
              <w:bottom w:val="nil"/>
              <w:right w:val="nil"/>
            </w:tcBorders>
          </w:tcPr>
          <w:p w:rsidR="00353556" w:rsidRPr="00353556" w:rsidRDefault="00353556" w:rsidP="00353556">
            <w:pPr>
              <w:widowControl/>
              <w:rPr>
                <w:rFonts w:cs="Arial"/>
                <w:color w:val="000000"/>
                <w:sz w:val="24"/>
                <w:szCs w:val="24"/>
              </w:rPr>
            </w:pPr>
            <w:r w:rsidRPr="00353556">
              <w:rPr>
                <w:rFonts w:cs="Arial"/>
                <w:color w:val="000000"/>
                <w:sz w:val="24"/>
                <w:szCs w:val="24"/>
              </w:rPr>
              <w:t xml:space="preserve">     National Center for Human Relations</w:t>
            </w:r>
          </w:p>
        </w:tc>
        <w:tc>
          <w:tcPr>
            <w:tcW w:w="105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nil"/>
              <w:right w:val="nil"/>
            </w:tcBorders>
          </w:tcPr>
          <w:p w:rsidR="00353556" w:rsidRPr="00353556" w:rsidRDefault="00D86114" w:rsidP="00D86114">
            <w:pPr>
              <w:widowControl/>
              <w:jc w:val="right"/>
              <w:rPr>
                <w:rFonts w:cs="Arial"/>
                <w:color w:val="000000"/>
                <w:sz w:val="24"/>
                <w:szCs w:val="24"/>
              </w:rPr>
            </w:pPr>
            <w:r w:rsidRPr="00353556">
              <w:rPr>
                <w:rFonts w:cs="Arial"/>
                <w:color w:val="000000"/>
                <w:sz w:val="24"/>
                <w:szCs w:val="24"/>
              </w:rPr>
              <w:t xml:space="preserve">10,000 </w:t>
            </w:r>
            <w:r w:rsidR="00353556" w:rsidRPr="00353556">
              <w:rPr>
                <w:rFonts w:cs="Arial"/>
                <w:color w:val="000000"/>
                <w:sz w:val="24"/>
                <w:szCs w:val="24"/>
              </w:rPr>
              <w:t xml:space="preserve">            </w:t>
            </w: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54"/>
        </w:trPr>
        <w:tc>
          <w:tcPr>
            <w:tcW w:w="6690" w:type="dxa"/>
            <w:tcBorders>
              <w:top w:val="nil"/>
              <w:left w:val="nil"/>
              <w:bottom w:val="nil"/>
              <w:right w:val="nil"/>
            </w:tcBorders>
          </w:tcPr>
          <w:p w:rsidR="00353556" w:rsidRPr="00353556" w:rsidRDefault="00353556" w:rsidP="00353556">
            <w:pPr>
              <w:widowControl/>
              <w:rPr>
                <w:rFonts w:cs="Arial"/>
                <w:color w:val="000000"/>
                <w:sz w:val="24"/>
                <w:szCs w:val="24"/>
              </w:rPr>
            </w:pPr>
            <w:r w:rsidRPr="00353556">
              <w:rPr>
                <w:rFonts w:cs="Arial"/>
                <w:color w:val="000000"/>
                <w:sz w:val="24"/>
                <w:szCs w:val="24"/>
              </w:rPr>
              <w:t xml:space="preserve">     Graduate Education</w:t>
            </w:r>
          </w:p>
        </w:tc>
        <w:tc>
          <w:tcPr>
            <w:tcW w:w="105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nil"/>
              <w:right w:val="nil"/>
            </w:tcBorders>
          </w:tcPr>
          <w:p w:rsidR="00353556" w:rsidRPr="00353556" w:rsidRDefault="00D86114" w:rsidP="00D86114">
            <w:pPr>
              <w:widowControl/>
              <w:jc w:val="right"/>
              <w:rPr>
                <w:rFonts w:cs="Arial"/>
                <w:color w:val="000000"/>
                <w:sz w:val="24"/>
                <w:szCs w:val="24"/>
              </w:rPr>
            </w:pPr>
            <w:r w:rsidRPr="00353556">
              <w:rPr>
                <w:rFonts w:cs="Arial"/>
                <w:color w:val="000000"/>
                <w:sz w:val="24"/>
                <w:szCs w:val="24"/>
              </w:rPr>
              <w:t xml:space="preserve">10,000 </w:t>
            </w:r>
            <w:r w:rsidR="00353556" w:rsidRPr="00353556">
              <w:rPr>
                <w:rFonts w:cs="Arial"/>
                <w:color w:val="000000"/>
                <w:sz w:val="24"/>
                <w:szCs w:val="24"/>
              </w:rPr>
              <w:t xml:space="preserve">            </w:t>
            </w: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54"/>
        </w:trPr>
        <w:tc>
          <w:tcPr>
            <w:tcW w:w="6690" w:type="dxa"/>
            <w:tcBorders>
              <w:top w:val="nil"/>
              <w:left w:val="nil"/>
              <w:bottom w:val="nil"/>
              <w:right w:val="nil"/>
            </w:tcBorders>
          </w:tcPr>
          <w:p w:rsidR="00353556" w:rsidRPr="00353556" w:rsidRDefault="00353556" w:rsidP="00353556">
            <w:pPr>
              <w:widowControl/>
              <w:rPr>
                <w:rFonts w:cs="Arial"/>
                <w:color w:val="000000"/>
                <w:sz w:val="24"/>
                <w:szCs w:val="24"/>
              </w:rPr>
            </w:pPr>
            <w:r w:rsidRPr="00353556">
              <w:rPr>
                <w:rFonts w:cs="Arial"/>
                <w:color w:val="000000"/>
                <w:sz w:val="24"/>
                <w:szCs w:val="24"/>
              </w:rPr>
              <w:t xml:space="preserve">     Academic Affairs Activities Support</w:t>
            </w:r>
          </w:p>
        </w:tc>
        <w:tc>
          <w:tcPr>
            <w:tcW w:w="105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nil"/>
              <w:right w:val="nil"/>
            </w:tcBorders>
          </w:tcPr>
          <w:p w:rsidR="00353556" w:rsidRPr="00353556" w:rsidRDefault="00D86114" w:rsidP="00D86114">
            <w:pPr>
              <w:widowControl/>
              <w:jc w:val="right"/>
              <w:rPr>
                <w:rFonts w:cs="Arial"/>
                <w:color w:val="000000"/>
                <w:sz w:val="24"/>
                <w:szCs w:val="24"/>
              </w:rPr>
            </w:pPr>
            <w:r w:rsidRPr="00353556">
              <w:rPr>
                <w:rFonts w:cs="Arial"/>
                <w:color w:val="000000"/>
                <w:sz w:val="24"/>
                <w:szCs w:val="24"/>
              </w:rPr>
              <w:t xml:space="preserve">15,000 </w:t>
            </w:r>
            <w:r w:rsidR="00353556" w:rsidRPr="00353556">
              <w:rPr>
                <w:rFonts w:cs="Arial"/>
                <w:color w:val="000000"/>
                <w:sz w:val="24"/>
                <w:szCs w:val="24"/>
              </w:rPr>
              <w:t xml:space="preserve">            </w:t>
            </w: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54"/>
        </w:trPr>
        <w:tc>
          <w:tcPr>
            <w:tcW w:w="6690" w:type="dxa"/>
            <w:tcBorders>
              <w:top w:val="nil"/>
              <w:left w:val="nil"/>
              <w:bottom w:val="nil"/>
              <w:right w:val="nil"/>
            </w:tcBorders>
          </w:tcPr>
          <w:p w:rsidR="00353556" w:rsidRPr="00353556" w:rsidRDefault="00353556" w:rsidP="00353556">
            <w:pPr>
              <w:widowControl/>
              <w:rPr>
                <w:rFonts w:cs="Arial"/>
                <w:color w:val="000000"/>
                <w:sz w:val="24"/>
                <w:szCs w:val="24"/>
              </w:rPr>
            </w:pPr>
            <w:r w:rsidRPr="00353556">
              <w:rPr>
                <w:rFonts w:cs="Arial"/>
                <w:color w:val="000000"/>
                <w:sz w:val="24"/>
                <w:szCs w:val="24"/>
              </w:rPr>
              <w:t xml:space="preserve">     Contingency</w:t>
            </w:r>
          </w:p>
        </w:tc>
        <w:tc>
          <w:tcPr>
            <w:tcW w:w="105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single" w:sz="6" w:space="0" w:color="auto"/>
              <w:right w:val="nil"/>
            </w:tcBorders>
          </w:tcPr>
          <w:p w:rsidR="00353556" w:rsidRPr="00353556" w:rsidRDefault="00D86114" w:rsidP="00D86114">
            <w:pPr>
              <w:widowControl/>
              <w:jc w:val="right"/>
              <w:rPr>
                <w:rFonts w:cs="Arial"/>
                <w:color w:val="000000"/>
                <w:sz w:val="24"/>
                <w:szCs w:val="24"/>
              </w:rPr>
            </w:pPr>
            <w:r w:rsidRPr="00353556">
              <w:rPr>
                <w:rFonts w:cs="Arial"/>
                <w:color w:val="000000"/>
                <w:sz w:val="24"/>
                <w:szCs w:val="24"/>
              </w:rPr>
              <w:t xml:space="preserve">37,500 </w:t>
            </w:r>
            <w:r w:rsidR="00353556" w:rsidRPr="00353556">
              <w:rPr>
                <w:rFonts w:cs="Arial"/>
                <w:color w:val="000000"/>
                <w:sz w:val="24"/>
                <w:szCs w:val="24"/>
              </w:rPr>
              <w:t xml:space="preserve">            </w:t>
            </w:r>
          </w:p>
        </w:tc>
        <w:tc>
          <w:tcPr>
            <w:tcW w:w="1620" w:type="dxa"/>
            <w:tcBorders>
              <w:top w:val="nil"/>
              <w:left w:val="nil"/>
              <w:bottom w:val="single" w:sz="6" w:space="0" w:color="auto"/>
              <w:right w:val="nil"/>
            </w:tcBorders>
          </w:tcPr>
          <w:p w:rsidR="00353556" w:rsidRPr="00353556" w:rsidRDefault="00353556" w:rsidP="00353556">
            <w:pPr>
              <w:widowControl/>
              <w:jc w:val="right"/>
              <w:rPr>
                <w:rFonts w:cs="Arial"/>
                <w:color w:val="000000"/>
                <w:sz w:val="24"/>
                <w:szCs w:val="24"/>
              </w:rPr>
            </w:pPr>
            <w:r w:rsidRPr="00353556">
              <w:rPr>
                <w:rFonts w:cs="Arial"/>
                <w:color w:val="000000"/>
                <w:sz w:val="24"/>
                <w:szCs w:val="24"/>
              </w:rPr>
              <w:t xml:space="preserve">       1,682,766 </w:t>
            </w: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54"/>
        </w:trPr>
        <w:tc>
          <w:tcPr>
            <w:tcW w:w="669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05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1620" w:type="dxa"/>
            <w:tcBorders>
              <w:top w:val="nil"/>
              <w:left w:val="nil"/>
              <w:bottom w:val="nil"/>
              <w:right w:val="nil"/>
            </w:tcBorders>
          </w:tcPr>
          <w:p w:rsidR="00353556" w:rsidRPr="00353556" w:rsidRDefault="00353556" w:rsidP="00353556">
            <w:pPr>
              <w:widowControl/>
              <w:jc w:val="right"/>
              <w:rPr>
                <w:rFonts w:cs="Arial"/>
                <w:color w:val="000000"/>
                <w:sz w:val="24"/>
                <w:szCs w:val="24"/>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81"/>
        </w:trPr>
        <w:tc>
          <w:tcPr>
            <w:tcW w:w="6690" w:type="dxa"/>
            <w:tcBorders>
              <w:top w:val="nil"/>
              <w:left w:val="nil"/>
              <w:bottom w:val="nil"/>
              <w:right w:val="nil"/>
            </w:tcBorders>
          </w:tcPr>
          <w:p w:rsidR="00353556" w:rsidRPr="00353556" w:rsidRDefault="00353556" w:rsidP="00353556">
            <w:pPr>
              <w:widowControl/>
              <w:rPr>
                <w:rFonts w:cs="Arial"/>
                <w:b/>
                <w:bCs/>
                <w:color w:val="000000"/>
                <w:sz w:val="24"/>
                <w:szCs w:val="24"/>
              </w:rPr>
            </w:pPr>
            <w:r w:rsidRPr="00353556">
              <w:rPr>
                <w:rFonts w:cs="Arial"/>
                <w:b/>
                <w:bCs/>
                <w:color w:val="000000"/>
                <w:sz w:val="24"/>
                <w:szCs w:val="24"/>
              </w:rPr>
              <w:t xml:space="preserve">     Total Uses of Funds</w:t>
            </w:r>
          </w:p>
        </w:tc>
        <w:tc>
          <w:tcPr>
            <w:tcW w:w="1050" w:type="dxa"/>
            <w:tcBorders>
              <w:top w:val="nil"/>
              <w:left w:val="nil"/>
              <w:bottom w:val="nil"/>
              <w:right w:val="nil"/>
            </w:tcBorders>
          </w:tcPr>
          <w:p w:rsidR="00353556" w:rsidRPr="00353556" w:rsidRDefault="00353556" w:rsidP="00353556">
            <w:pPr>
              <w:widowControl/>
              <w:jc w:val="right"/>
              <w:rPr>
                <w:rFonts w:cs="Arial"/>
                <w:b/>
                <w:bCs/>
                <w:color w:val="000000"/>
                <w:sz w:val="24"/>
                <w:szCs w:val="24"/>
              </w:rPr>
            </w:pPr>
          </w:p>
        </w:tc>
        <w:tc>
          <w:tcPr>
            <w:tcW w:w="1620" w:type="dxa"/>
            <w:tcBorders>
              <w:top w:val="nil"/>
              <w:left w:val="nil"/>
              <w:bottom w:val="nil"/>
              <w:right w:val="nil"/>
            </w:tcBorders>
          </w:tcPr>
          <w:p w:rsidR="00353556" w:rsidRPr="00353556" w:rsidRDefault="00353556" w:rsidP="00353556">
            <w:pPr>
              <w:widowControl/>
              <w:jc w:val="right"/>
              <w:rPr>
                <w:rFonts w:cs="Arial"/>
                <w:b/>
                <w:bCs/>
                <w:color w:val="000000"/>
                <w:sz w:val="24"/>
                <w:szCs w:val="24"/>
              </w:rPr>
            </w:pPr>
          </w:p>
        </w:tc>
        <w:tc>
          <w:tcPr>
            <w:tcW w:w="1620" w:type="dxa"/>
            <w:tcBorders>
              <w:top w:val="nil"/>
              <w:left w:val="nil"/>
              <w:bottom w:val="double" w:sz="6" w:space="0" w:color="auto"/>
              <w:right w:val="nil"/>
            </w:tcBorders>
          </w:tcPr>
          <w:p w:rsidR="00353556" w:rsidRPr="00353556" w:rsidRDefault="00353556" w:rsidP="00353556">
            <w:pPr>
              <w:widowControl/>
              <w:jc w:val="right"/>
              <w:rPr>
                <w:rFonts w:cs="Arial"/>
                <w:b/>
                <w:bCs/>
                <w:color w:val="000000"/>
                <w:sz w:val="24"/>
                <w:szCs w:val="24"/>
              </w:rPr>
            </w:pPr>
            <w:r w:rsidRPr="00353556">
              <w:rPr>
                <w:rFonts w:cs="Arial"/>
                <w:b/>
                <w:bCs/>
                <w:color w:val="000000"/>
                <w:sz w:val="24"/>
                <w:szCs w:val="24"/>
              </w:rPr>
              <w:t xml:space="preserve"> $ 13,280,427 </w:t>
            </w: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30"/>
        </w:trPr>
        <w:tc>
          <w:tcPr>
            <w:tcW w:w="6690" w:type="dxa"/>
            <w:tcBorders>
              <w:top w:val="nil"/>
              <w:left w:val="nil"/>
              <w:bottom w:val="nil"/>
              <w:right w:val="nil"/>
            </w:tcBorders>
          </w:tcPr>
          <w:p w:rsidR="00353556" w:rsidRPr="00353556" w:rsidRDefault="00353556" w:rsidP="00353556">
            <w:pPr>
              <w:widowControl/>
              <w:jc w:val="right"/>
              <w:rPr>
                <w:rFonts w:cs="Arial"/>
                <w:color w:val="000000"/>
              </w:rPr>
            </w:pPr>
          </w:p>
        </w:tc>
        <w:tc>
          <w:tcPr>
            <w:tcW w:w="1050" w:type="dxa"/>
            <w:tcBorders>
              <w:top w:val="nil"/>
              <w:left w:val="nil"/>
              <w:bottom w:val="nil"/>
              <w:right w:val="nil"/>
            </w:tcBorders>
          </w:tcPr>
          <w:p w:rsidR="00353556" w:rsidRPr="00353556" w:rsidRDefault="00353556" w:rsidP="00353556">
            <w:pPr>
              <w:widowControl/>
              <w:jc w:val="right"/>
              <w:rPr>
                <w:rFonts w:cs="Arial"/>
                <w:color w:val="000000"/>
              </w:rPr>
            </w:pPr>
          </w:p>
        </w:tc>
        <w:tc>
          <w:tcPr>
            <w:tcW w:w="1620" w:type="dxa"/>
            <w:tcBorders>
              <w:top w:val="nil"/>
              <w:left w:val="nil"/>
              <w:bottom w:val="nil"/>
              <w:right w:val="nil"/>
            </w:tcBorders>
          </w:tcPr>
          <w:p w:rsidR="00353556" w:rsidRPr="00353556" w:rsidRDefault="00353556" w:rsidP="00353556">
            <w:pPr>
              <w:widowControl/>
              <w:jc w:val="right"/>
              <w:rPr>
                <w:rFonts w:cs="Arial"/>
                <w:color w:val="000000"/>
              </w:rPr>
            </w:pPr>
          </w:p>
        </w:tc>
        <w:tc>
          <w:tcPr>
            <w:tcW w:w="1620" w:type="dxa"/>
            <w:tcBorders>
              <w:top w:val="nil"/>
              <w:left w:val="nil"/>
              <w:bottom w:val="nil"/>
              <w:right w:val="nil"/>
            </w:tcBorders>
          </w:tcPr>
          <w:p w:rsidR="00353556" w:rsidRPr="00353556" w:rsidRDefault="00353556" w:rsidP="00353556">
            <w:pPr>
              <w:widowControl/>
              <w:jc w:val="right"/>
              <w:rPr>
                <w:rFonts w:cs="Arial"/>
                <w:color w:val="000000"/>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18"/>
        </w:trPr>
        <w:tc>
          <w:tcPr>
            <w:tcW w:w="6690" w:type="dxa"/>
            <w:tcBorders>
              <w:top w:val="nil"/>
              <w:left w:val="nil"/>
              <w:bottom w:val="nil"/>
              <w:right w:val="nil"/>
            </w:tcBorders>
          </w:tcPr>
          <w:p w:rsidR="00353556" w:rsidRPr="00353556" w:rsidRDefault="00353556" w:rsidP="00353556">
            <w:pPr>
              <w:widowControl/>
              <w:jc w:val="right"/>
              <w:rPr>
                <w:rFonts w:cs="Arial"/>
                <w:color w:val="000000"/>
              </w:rPr>
            </w:pPr>
          </w:p>
        </w:tc>
        <w:tc>
          <w:tcPr>
            <w:tcW w:w="1050" w:type="dxa"/>
            <w:tcBorders>
              <w:top w:val="nil"/>
              <w:left w:val="nil"/>
              <w:bottom w:val="nil"/>
              <w:right w:val="nil"/>
            </w:tcBorders>
          </w:tcPr>
          <w:p w:rsidR="00353556" w:rsidRPr="00353556" w:rsidRDefault="00353556" w:rsidP="00353556">
            <w:pPr>
              <w:widowControl/>
              <w:jc w:val="right"/>
              <w:rPr>
                <w:rFonts w:cs="Arial"/>
                <w:color w:val="000000"/>
              </w:rPr>
            </w:pPr>
          </w:p>
        </w:tc>
        <w:tc>
          <w:tcPr>
            <w:tcW w:w="1620" w:type="dxa"/>
            <w:tcBorders>
              <w:top w:val="nil"/>
              <w:left w:val="nil"/>
              <w:bottom w:val="nil"/>
              <w:right w:val="nil"/>
            </w:tcBorders>
          </w:tcPr>
          <w:p w:rsidR="00353556" w:rsidRPr="00353556" w:rsidRDefault="00353556" w:rsidP="00353556">
            <w:pPr>
              <w:widowControl/>
              <w:jc w:val="right"/>
              <w:rPr>
                <w:rFonts w:cs="Arial"/>
                <w:color w:val="000000"/>
              </w:rPr>
            </w:pPr>
          </w:p>
        </w:tc>
        <w:tc>
          <w:tcPr>
            <w:tcW w:w="1620" w:type="dxa"/>
            <w:tcBorders>
              <w:top w:val="nil"/>
              <w:left w:val="nil"/>
              <w:bottom w:val="nil"/>
              <w:right w:val="nil"/>
            </w:tcBorders>
          </w:tcPr>
          <w:p w:rsidR="00353556" w:rsidRPr="00353556" w:rsidRDefault="00353556" w:rsidP="00353556">
            <w:pPr>
              <w:widowControl/>
              <w:jc w:val="right"/>
              <w:rPr>
                <w:rFonts w:cs="Arial"/>
                <w:color w:val="000000"/>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r w:rsidR="00D86114" w:rsidRPr="00353556" w:rsidTr="00D86114">
        <w:tblPrEx>
          <w:tblCellMar>
            <w:top w:w="0" w:type="dxa"/>
            <w:bottom w:w="0" w:type="dxa"/>
          </w:tblCellMar>
        </w:tblPrEx>
        <w:trPr>
          <w:trHeight w:val="218"/>
        </w:trPr>
        <w:tc>
          <w:tcPr>
            <w:tcW w:w="6690" w:type="dxa"/>
            <w:tcBorders>
              <w:top w:val="nil"/>
              <w:left w:val="nil"/>
              <w:bottom w:val="nil"/>
              <w:right w:val="nil"/>
            </w:tcBorders>
          </w:tcPr>
          <w:p w:rsidR="00353556" w:rsidRPr="00353556" w:rsidRDefault="00353556" w:rsidP="00353556">
            <w:pPr>
              <w:widowControl/>
              <w:rPr>
                <w:rFonts w:cs="Arial"/>
                <w:color w:val="000000"/>
              </w:rPr>
            </w:pPr>
            <w:r w:rsidRPr="00353556">
              <w:rPr>
                <w:rFonts w:cs="Arial"/>
                <w:color w:val="000000"/>
              </w:rPr>
              <w:t>VPAA-Finance &amp; Advising</w:t>
            </w:r>
          </w:p>
        </w:tc>
        <w:tc>
          <w:tcPr>
            <w:tcW w:w="1050" w:type="dxa"/>
            <w:tcBorders>
              <w:top w:val="nil"/>
              <w:left w:val="nil"/>
              <w:bottom w:val="nil"/>
              <w:right w:val="nil"/>
            </w:tcBorders>
          </w:tcPr>
          <w:p w:rsidR="00353556" w:rsidRPr="00353556" w:rsidRDefault="00353556" w:rsidP="00353556">
            <w:pPr>
              <w:widowControl/>
              <w:jc w:val="right"/>
              <w:rPr>
                <w:rFonts w:cs="Arial"/>
                <w:color w:val="000000"/>
              </w:rPr>
            </w:pPr>
          </w:p>
        </w:tc>
        <w:tc>
          <w:tcPr>
            <w:tcW w:w="1620" w:type="dxa"/>
            <w:tcBorders>
              <w:top w:val="nil"/>
              <w:left w:val="nil"/>
              <w:bottom w:val="nil"/>
              <w:right w:val="nil"/>
            </w:tcBorders>
          </w:tcPr>
          <w:p w:rsidR="00353556" w:rsidRPr="00353556" w:rsidRDefault="00353556" w:rsidP="00353556">
            <w:pPr>
              <w:widowControl/>
              <w:jc w:val="right"/>
              <w:rPr>
                <w:rFonts w:cs="Arial"/>
                <w:color w:val="000000"/>
              </w:rPr>
            </w:pPr>
          </w:p>
        </w:tc>
        <w:tc>
          <w:tcPr>
            <w:tcW w:w="1620" w:type="dxa"/>
            <w:tcBorders>
              <w:top w:val="nil"/>
              <w:left w:val="nil"/>
              <w:bottom w:val="nil"/>
              <w:right w:val="nil"/>
            </w:tcBorders>
          </w:tcPr>
          <w:p w:rsidR="00353556" w:rsidRPr="00353556" w:rsidRDefault="00353556" w:rsidP="00353556">
            <w:pPr>
              <w:widowControl/>
              <w:jc w:val="right"/>
              <w:rPr>
                <w:rFonts w:cs="Arial"/>
                <w:color w:val="000000"/>
              </w:rPr>
            </w:pPr>
          </w:p>
        </w:tc>
        <w:tc>
          <w:tcPr>
            <w:tcW w:w="888" w:type="dxa"/>
            <w:tcBorders>
              <w:top w:val="nil"/>
              <w:left w:val="nil"/>
              <w:bottom w:val="nil"/>
              <w:right w:val="nil"/>
            </w:tcBorders>
          </w:tcPr>
          <w:p w:rsidR="00353556" w:rsidRPr="00353556" w:rsidRDefault="00353556" w:rsidP="00353556">
            <w:pPr>
              <w:widowControl/>
              <w:jc w:val="right"/>
              <w:rPr>
                <w:rFonts w:cs="Arial"/>
                <w:color w:val="000000"/>
              </w:rPr>
            </w:pPr>
          </w:p>
        </w:tc>
      </w:tr>
    </w:tbl>
    <w:p w:rsidR="00180AE9" w:rsidRDefault="00180AE9" w:rsidP="00EB25DF">
      <w:pPr>
        <w:rPr>
          <w:sz w:val="24"/>
          <w:szCs w:val="24"/>
        </w:rPr>
      </w:pPr>
    </w:p>
    <w:p w:rsidR="00180AE9" w:rsidRDefault="00180AE9" w:rsidP="00EB25DF">
      <w:pPr>
        <w:rPr>
          <w:sz w:val="24"/>
          <w:szCs w:val="24"/>
        </w:rPr>
      </w:pPr>
    </w:p>
    <w:sectPr w:rsidR="00180AE9" w:rsidSect="00B5031F">
      <w:type w:val="continuous"/>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C3167"/>
    <w:multiLevelType w:val="hybridMultilevel"/>
    <w:tmpl w:val="DBA87EBA"/>
    <w:lvl w:ilvl="0" w:tplc="87D2F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2FF"/>
    <w:rsid w:val="00017EE4"/>
    <w:rsid w:val="0004108E"/>
    <w:rsid w:val="00096DB7"/>
    <w:rsid w:val="000C3909"/>
    <w:rsid w:val="00133219"/>
    <w:rsid w:val="00180AE9"/>
    <w:rsid w:val="00180BC8"/>
    <w:rsid w:val="001D00D0"/>
    <w:rsid w:val="002B5B1F"/>
    <w:rsid w:val="003000A4"/>
    <w:rsid w:val="00314D65"/>
    <w:rsid w:val="00353556"/>
    <w:rsid w:val="00367531"/>
    <w:rsid w:val="003A66BA"/>
    <w:rsid w:val="00421BA4"/>
    <w:rsid w:val="0049236A"/>
    <w:rsid w:val="005504AA"/>
    <w:rsid w:val="0055505C"/>
    <w:rsid w:val="005D0202"/>
    <w:rsid w:val="00627A36"/>
    <w:rsid w:val="007A4997"/>
    <w:rsid w:val="008066A5"/>
    <w:rsid w:val="008D29F1"/>
    <w:rsid w:val="009603F7"/>
    <w:rsid w:val="0098386D"/>
    <w:rsid w:val="00A56D83"/>
    <w:rsid w:val="00A70733"/>
    <w:rsid w:val="00AC5EBE"/>
    <w:rsid w:val="00B5031F"/>
    <w:rsid w:val="00C35315"/>
    <w:rsid w:val="00CF06B1"/>
    <w:rsid w:val="00CF2385"/>
    <w:rsid w:val="00D458C9"/>
    <w:rsid w:val="00D86114"/>
    <w:rsid w:val="00D93FE3"/>
    <w:rsid w:val="00DE0B26"/>
    <w:rsid w:val="00E13B67"/>
    <w:rsid w:val="00EB25DF"/>
    <w:rsid w:val="00F302FF"/>
    <w:rsid w:val="00F511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31F"/>
    <w:pPr>
      <w:widowControl w:val="0"/>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8C40B-AEB5-4486-9D4A-3A203B3F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Affairs</dc:creator>
  <cp:keywords/>
  <dc:description/>
  <cp:lastModifiedBy>Academic Affairs</cp:lastModifiedBy>
  <cp:revision>8</cp:revision>
  <cp:lastPrinted>2008-10-06T14:31:00Z</cp:lastPrinted>
  <dcterms:created xsi:type="dcterms:W3CDTF">2008-11-07T14:27:00Z</dcterms:created>
  <dcterms:modified xsi:type="dcterms:W3CDTF">2008-11-07T16:46:00Z</dcterms:modified>
</cp:coreProperties>
</file>