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3A" w:rsidRDefault="00BF7B3A" w:rsidP="00BF7B3A">
      <w:pPr>
        <w:pStyle w:val="Title"/>
        <w:rPr>
          <w:rFonts w:ascii="Times New Roman" w:hAnsi="Times New Roman" w:cs="Times New Roman"/>
          <w:b/>
          <w:color w:val="auto"/>
          <w:sz w:val="28"/>
          <w:szCs w:val="28"/>
        </w:rPr>
      </w:pPr>
      <w:r>
        <w:rPr>
          <w:rFonts w:ascii="Times New Roman" w:hAnsi="Times New Roman" w:cs="Times New Roman"/>
          <w:b/>
          <w:color w:val="auto"/>
          <w:sz w:val="28"/>
          <w:szCs w:val="28"/>
        </w:rPr>
        <w:fldChar w:fldCharType="begin"/>
      </w:r>
      <w:r>
        <w:rPr>
          <w:rFonts w:ascii="Times New Roman" w:hAnsi="Times New Roman" w:cs="Times New Roman"/>
          <w:b/>
          <w:color w:val="auto"/>
          <w:sz w:val="28"/>
          <w:szCs w:val="28"/>
        </w:rPr>
        <w:instrText xml:space="preserve"> SEQ CHAPTER \h \r 1</w:instrText>
      </w:r>
      <w:r>
        <w:rPr>
          <w:rFonts w:ascii="Times New Roman" w:hAnsi="Times New Roman" w:cs="Times New Roman"/>
          <w:b/>
          <w:color w:val="auto"/>
          <w:sz w:val="28"/>
          <w:szCs w:val="28"/>
        </w:rPr>
        <w:fldChar w:fldCharType="end"/>
      </w:r>
      <w:r>
        <w:rPr>
          <w:rFonts w:ascii="Times New Roman" w:hAnsi="Times New Roman" w:cs="Times New Roman"/>
          <w:b/>
          <w:color w:val="auto"/>
          <w:sz w:val="28"/>
          <w:szCs w:val="28"/>
        </w:rPr>
        <w:t xml:space="preserve">West Virginia State University </w:t>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Friday, November </w:t>
      </w:r>
      <w:r w:rsidR="00086176">
        <w:rPr>
          <w:rFonts w:ascii="Times New Roman" w:hAnsi="Times New Roman" w:cs="Times New Roman"/>
          <w:b/>
          <w:color w:val="auto"/>
          <w:sz w:val="28"/>
          <w:szCs w:val="28"/>
        </w:rPr>
        <w:t>2</w:t>
      </w:r>
      <w:r>
        <w:rPr>
          <w:rFonts w:ascii="Times New Roman" w:hAnsi="Times New Roman" w:cs="Times New Roman"/>
          <w:b/>
          <w:color w:val="auto"/>
          <w:sz w:val="28"/>
          <w:szCs w:val="28"/>
        </w:rPr>
        <w:t>, 2012</w:t>
      </w:r>
    </w:p>
    <w:p w:rsidR="00BF7B3A" w:rsidRDefault="00BF7B3A" w:rsidP="00BF7B3A">
      <w:pPr>
        <w:pStyle w:val="Title"/>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Academic Affairs</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R. Charles Byers, Ph.D.</w:t>
      </w:r>
      <w:proofErr w:type="gramEnd"/>
    </w:p>
    <w:p w:rsidR="00BF7B3A" w:rsidRDefault="00BF7B3A" w:rsidP="00BF7B3A">
      <w:pPr>
        <w:pStyle w:val="Title"/>
        <w:rPr>
          <w:rFonts w:ascii="Times New Roman" w:hAnsi="Times New Roman" w:cs="Times New Roman"/>
          <w:b/>
          <w:color w:val="auto"/>
          <w:sz w:val="28"/>
          <w:szCs w:val="28"/>
        </w:rPr>
      </w:pPr>
      <w:r>
        <w:rPr>
          <w:rFonts w:ascii="Times New Roman" w:hAnsi="Times New Roman" w:cs="Times New Roman"/>
          <w:b/>
          <w:color w:val="auto"/>
          <w:sz w:val="28"/>
          <w:szCs w:val="28"/>
        </w:rPr>
        <w:t>Faculty Senate Report</w:t>
      </w:r>
      <w:r>
        <w:rPr>
          <w:rFonts w:ascii="Times New Roman" w:hAnsi="Times New Roman" w:cs="Times New Roman"/>
          <w:b/>
          <w:color w:val="auto"/>
          <w:sz w:val="28"/>
          <w:szCs w:val="28"/>
        </w:rPr>
        <w:tab/>
        <w:t xml:space="preserve">                  Provost &amp; Vice President for Academic Affairs</w:t>
      </w:r>
    </w:p>
    <w:p w:rsidR="00C25F81" w:rsidRPr="00C25F81" w:rsidRDefault="00C25F81" w:rsidP="0033690B">
      <w:pPr>
        <w:jc w:val="both"/>
        <w:rPr>
          <w:b/>
          <w:sz w:val="22"/>
          <w:szCs w:val="22"/>
        </w:rPr>
      </w:pPr>
      <w:r w:rsidRPr="00C25F81">
        <w:rPr>
          <w:b/>
          <w:sz w:val="22"/>
          <w:szCs w:val="22"/>
        </w:rPr>
        <w:t>December Commencement</w:t>
      </w:r>
    </w:p>
    <w:p w:rsidR="0033690B" w:rsidRPr="0033690B" w:rsidRDefault="00BF7B3A" w:rsidP="0033690B">
      <w:pPr>
        <w:jc w:val="both"/>
        <w:rPr>
          <w:sz w:val="22"/>
          <w:szCs w:val="22"/>
        </w:rPr>
      </w:pPr>
      <w:r w:rsidRPr="0033690B">
        <w:rPr>
          <w:sz w:val="22"/>
          <w:szCs w:val="22"/>
        </w:rPr>
        <w:t xml:space="preserve">Preparations for the </w:t>
      </w:r>
      <w:r w:rsidR="0033690B">
        <w:rPr>
          <w:sz w:val="22"/>
          <w:szCs w:val="22"/>
        </w:rPr>
        <w:t xml:space="preserve">Saturday, </w:t>
      </w:r>
      <w:r w:rsidRPr="0033690B">
        <w:rPr>
          <w:sz w:val="22"/>
          <w:szCs w:val="22"/>
        </w:rPr>
        <w:t>December 15, 2012 (notice the date change) Commencement ceremonies are proceeding for holding the exercises on campus in the P. Ahmed Williams Auditorium of Ferrell Hall.  The College of Professional Studies will hold its ceremonies at 10:00 and the other three college</w:t>
      </w:r>
      <w:r w:rsidR="0033690B">
        <w:rPr>
          <w:sz w:val="22"/>
          <w:szCs w:val="22"/>
        </w:rPr>
        <w:t>s</w:t>
      </w:r>
      <w:r w:rsidRPr="0033690B">
        <w:rPr>
          <w:sz w:val="22"/>
          <w:szCs w:val="22"/>
        </w:rPr>
        <w:t xml:space="preserve"> will hold theirs at 2:00; the number of graduates for each ceremony will be approximately equal.   Dr. Lawrence J. Crawford of Detroit</w:t>
      </w:r>
      <w:r w:rsidR="0033690B">
        <w:rPr>
          <w:sz w:val="22"/>
          <w:szCs w:val="22"/>
        </w:rPr>
        <w:t xml:space="preserve">, </w:t>
      </w:r>
      <w:r w:rsidR="0033690B" w:rsidRPr="0033690B">
        <w:rPr>
          <w:sz w:val="22"/>
          <w:szCs w:val="22"/>
        </w:rPr>
        <w:t>a dentist as well as an entrepreneur</w:t>
      </w:r>
      <w:r w:rsidR="0033690B">
        <w:rPr>
          <w:sz w:val="22"/>
          <w:szCs w:val="22"/>
        </w:rPr>
        <w:t>,</w:t>
      </w:r>
      <w:r w:rsidRPr="0033690B">
        <w:rPr>
          <w:sz w:val="22"/>
          <w:szCs w:val="22"/>
        </w:rPr>
        <w:t xml:space="preserve"> will be the speaker.  </w:t>
      </w:r>
      <w:r w:rsidR="0033690B" w:rsidRPr="0033690B">
        <w:rPr>
          <w:sz w:val="22"/>
          <w:szCs w:val="22"/>
        </w:rPr>
        <w:t>At this date, there are approximately 152 graduating (including master’s graduates) with 134 indicating they will participate.  Broken down by colleges, that is:</w:t>
      </w:r>
    </w:p>
    <w:p w:rsidR="0033690B" w:rsidRPr="0033690B" w:rsidRDefault="00C25F81" w:rsidP="0033690B">
      <w:pPr>
        <w:ind w:firstLine="720"/>
        <w:jc w:val="both"/>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5162550</wp:posOffset>
                </wp:positionH>
                <wp:positionV relativeFrom="paragraph">
                  <wp:posOffset>142875</wp:posOffset>
                </wp:positionV>
                <wp:extent cx="152400" cy="542925"/>
                <wp:effectExtent l="0" t="0" r="19050" b="285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42925"/>
                        </a:xfrm>
                        <a:prstGeom prst="rightBrace">
                          <a:avLst>
                            <a:gd name="adj1" fmla="val 296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6.5pt;margin-top:11.25pt;width:1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"/>
            </w:pict>
          </mc:Fallback>
        </mc:AlternateContent>
      </w:r>
      <w:r w:rsidR="0033690B" w:rsidRPr="0033690B">
        <w:rPr>
          <w:sz w:val="22"/>
          <w:szCs w:val="22"/>
        </w:rPr>
        <w:t>Professional Studies</w:t>
      </w:r>
      <w:r w:rsidR="0033690B" w:rsidRPr="0033690B">
        <w:rPr>
          <w:sz w:val="22"/>
          <w:szCs w:val="22"/>
        </w:rPr>
        <w:tab/>
      </w:r>
      <w:r w:rsidR="0033690B" w:rsidRPr="0033690B">
        <w:rPr>
          <w:sz w:val="22"/>
          <w:szCs w:val="22"/>
        </w:rPr>
        <w:tab/>
      </w:r>
      <w:r w:rsidR="0033690B" w:rsidRPr="0033690B">
        <w:rPr>
          <w:sz w:val="22"/>
          <w:szCs w:val="22"/>
        </w:rPr>
        <w:tab/>
      </w:r>
      <w:r w:rsidR="0033690B" w:rsidRPr="0033690B">
        <w:rPr>
          <w:sz w:val="22"/>
          <w:szCs w:val="22"/>
        </w:rPr>
        <w:tab/>
        <w:t>73 with 9 not participating   = 64</w:t>
      </w:r>
    </w:p>
    <w:p w:rsidR="0033690B" w:rsidRPr="0033690B" w:rsidRDefault="0033690B" w:rsidP="0033690B">
      <w:pPr>
        <w:ind w:firstLine="720"/>
        <w:jc w:val="both"/>
        <w:rPr>
          <w:sz w:val="22"/>
          <w:szCs w:val="22"/>
        </w:rPr>
      </w:pPr>
      <w:r w:rsidRPr="0033690B">
        <w:rPr>
          <w:sz w:val="22"/>
          <w:szCs w:val="22"/>
        </w:rPr>
        <w:t>Arts &amp; Humanities</w:t>
      </w:r>
      <w:r w:rsidRPr="0033690B">
        <w:rPr>
          <w:sz w:val="22"/>
          <w:szCs w:val="22"/>
        </w:rPr>
        <w:tab/>
      </w:r>
      <w:r w:rsidRPr="0033690B">
        <w:rPr>
          <w:sz w:val="22"/>
          <w:szCs w:val="22"/>
        </w:rPr>
        <w:tab/>
      </w:r>
      <w:r w:rsidRPr="0033690B">
        <w:rPr>
          <w:sz w:val="22"/>
          <w:szCs w:val="22"/>
        </w:rPr>
        <w:tab/>
      </w:r>
      <w:r w:rsidRPr="0033690B">
        <w:rPr>
          <w:sz w:val="22"/>
          <w:szCs w:val="22"/>
        </w:rPr>
        <w:tab/>
        <w:t>20 with 3 not participating   = 17</w:t>
      </w:r>
    </w:p>
    <w:p w:rsidR="0033690B" w:rsidRPr="0033690B" w:rsidRDefault="0033690B" w:rsidP="0033690B">
      <w:pPr>
        <w:ind w:firstLine="720"/>
        <w:jc w:val="both"/>
        <w:rPr>
          <w:sz w:val="22"/>
          <w:szCs w:val="22"/>
        </w:rPr>
      </w:pPr>
      <w:r w:rsidRPr="0033690B">
        <w:rPr>
          <w:sz w:val="22"/>
          <w:szCs w:val="22"/>
        </w:rPr>
        <w:t>Business &amp; Social Sciences</w:t>
      </w:r>
      <w:r w:rsidRPr="0033690B">
        <w:rPr>
          <w:sz w:val="22"/>
          <w:szCs w:val="22"/>
        </w:rPr>
        <w:tab/>
      </w:r>
      <w:r w:rsidRPr="0033690B">
        <w:rPr>
          <w:sz w:val="22"/>
          <w:szCs w:val="22"/>
        </w:rPr>
        <w:tab/>
      </w:r>
      <w:r w:rsidRPr="0033690B">
        <w:rPr>
          <w:sz w:val="22"/>
          <w:szCs w:val="22"/>
        </w:rPr>
        <w:tab/>
        <w:t>49 with 4 not participating   = 45      70</w:t>
      </w:r>
    </w:p>
    <w:p w:rsidR="0033690B" w:rsidRPr="0033690B" w:rsidRDefault="0033690B" w:rsidP="0033690B">
      <w:pPr>
        <w:ind w:firstLine="720"/>
        <w:jc w:val="both"/>
        <w:rPr>
          <w:sz w:val="22"/>
          <w:szCs w:val="22"/>
        </w:rPr>
      </w:pPr>
      <w:r w:rsidRPr="0033690B">
        <w:rPr>
          <w:sz w:val="22"/>
          <w:szCs w:val="22"/>
        </w:rPr>
        <w:t>Natural Sciences &amp; Mathematics</w:t>
      </w:r>
      <w:r w:rsidRPr="0033690B">
        <w:rPr>
          <w:sz w:val="22"/>
          <w:szCs w:val="22"/>
        </w:rPr>
        <w:tab/>
      </w:r>
      <w:r w:rsidRPr="0033690B">
        <w:rPr>
          <w:sz w:val="22"/>
          <w:szCs w:val="22"/>
        </w:rPr>
        <w:tab/>
        <w:t>10 with 2 not participating   =   8</w:t>
      </w:r>
    </w:p>
    <w:p w:rsidR="00BF7B3A" w:rsidRDefault="0033690B" w:rsidP="00BF7B3A">
      <w:pPr>
        <w:jc w:val="both"/>
        <w:rPr>
          <w:sz w:val="22"/>
          <w:szCs w:val="22"/>
        </w:rPr>
      </w:pPr>
      <w:r w:rsidRPr="0033690B">
        <w:rPr>
          <w:sz w:val="22"/>
          <w:szCs w:val="22"/>
        </w:rPr>
        <w:t xml:space="preserve">Rehearsal will be on Friday evening, December 14, at 5:00 for Professional Studies graduates and at 6:00 for the other college graduates.  </w:t>
      </w:r>
    </w:p>
    <w:p w:rsidR="0033690B" w:rsidRDefault="0033690B" w:rsidP="00BF7B3A">
      <w:pPr>
        <w:jc w:val="both"/>
        <w:rPr>
          <w:sz w:val="22"/>
          <w:szCs w:val="22"/>
        </w:rPr>
      </w:pPr>
    </w:p>
    <w:p w:rsidR="0033690B" w:rsidRDefault="0033690B" w:rsidP="00BF7B3A">
      <w:pPr>
        <w:jc w:val="both"/>
        <w:rPr>
          <w:sz w:val="22"/>
          <w:szCs w:val="22"/>
        </w:rPr>
      </w:pPr>
      <w:r>
        <w:rPr>
          <w:sz w:val="22"/>
          <w:szCs w:val="22"/>
        </w:rPr>
        <w:t>There will be no grand reception for graduates following rehearsal. Colleges will each have their own reception or program (as they choose) for their graduates.  This will make for a more intimate setting as graduates and their families/guests of each college are able to assemble and mingle with faculty.</w:t>
      </w:r>
    </w:p>
    <w:p w:rsidR="0033690B" w:rsidRDefault="0033690B" w:rsidP="00BF7B3A">
      <w:pPr>
        <w:jc w:val="both"/>
        <w:rPr>
          <w:sz w:val="22"/>
          <w:szCs w:val="22"/>
        </w:rPr>
      </w:pPr>
    </w:p>
    <w:p w:rsidR="00C25F81" w:rsidRPr="00C25F81" w:rsidRDefault="00C25F81" w:rsidP="00BF7B3A">
      <w:pPr>
        <w:jc w:val="both"/>
        <w:rPr>
          <w:b/>
          <w:sz w:val="22"/>
          <w:szCs w:val="22"/>
        </w:rPr>
      </w:pPr>
      <w:r w:rsidRPr="00C25F81">
        <w:rPr>
          <w:b/>
          <w:sz w:val="22"/>
          <w:szCs w:val="22"/>
        </w:rPr>
        <w:t xml:space="preserve">CTC Academic Liaison </w:t>
      </w:r>
    </w:p>
    <w:p w:rsidR="0033690B" w:rsidRDefault="0033690B" w:rsidP="00BF7B3A">
      <w:pPr>
        <w:jc w:val="both"/>
        <w:rPr>
          <w:sz w:val="22"/>
          <w:szCs w:val="22"/>
        </w:rPr>
      </w:pPr>
      <w:r>
        <w:rPr>
          <w:sz w:val="22"/>
          <w:szCs w:val="22"/>
        </w:rPr>
        <w:t xml:space="preserve">Visits to Bridgemont, Mountwest, and Southern CTCs occurred in October to continue work on 2+2 articulation agreements between those institutions and WVSU.  Our deans and faculty traveled to these venues to see their facilities and to meet with their faculties to discuss possibilities and to address mutual needs in the process.  </w:t>
      </w:r>
      <w:r w:rsidR="00536ED0">
        <w:rPr>
          <w:sz w:val="22"/>
          <w:szCs w:val="22"/>
        </w:rPr>
        <w:t>Included with this report is the analysis of our progress to date.</w:t>
      </w:r>
    </w:p>
    <w:p w:rsidR="00536ED0" w:rsidRDefault="00536ED0" w:rsidP="00BF7B3A">
      <w:pPr>
        <w:jc w:val="both"/>
        <w:rPr>
          <w:sz w:val="22"/>
          <w:szCs w:val="22"/>
        </w:rPr>
      </w:pPr>
    </w:p>
    <w:p w:rsidR="00C25F81" w:rsidRPr="00C25F81" w:rsidRDefault="00C25F81" w:rsidP="00BF7B3A">
      <w:pPr>
        <w:jc w:val="both"/>
        <w:rPr>
          <w:b/>
          <w:sz w:val="22"/>
          <w:szCs w:val="22"/>
        </w:rPr>
      </w:pPr>
      <w:r w:rsidRPr="00C25F81">
        <w:rPr>
          <w:b/>
          <w:sz w:val="22"/>
          <w:szCs w:val="22"/>
        </w:rPr>
        <w:t>Board of Governors Meeting</w:t>
      </w:r>
    </w:p>
    <w:p w:rsidR="00536ED0" w:rsidRDefault="00536ED0" w:rsidP="00BF7B3A">
      <w:pPr>
        <w:jc w:val="both"/>
        <w:rPr>
          <w:sz w:val="22"/>
          <w:szCs w:val="22"/>
        </w:rPr>
      </w:pPr>
      <w:r>
        <w:rPr>
          <w:sz w:val="22"/>
          <w:szCs w:val="22"/>
        </w:rPr>
        <w:t>The Board of Governors received at its November 1 meeting two proposals for new programs.  The request was approval of Intents to Plan the Master of Public Administration degree and a Bachelor of Science in Nursing.  The MPA proposal was first presented and approved in June but was resubmitted due to a change in faculty in the Political Science Department.  The Bachelor of Science in Nursing is designed in coordination with Kanawha Valley Community &amp; Technical College as a 2+2 RN to BSN program.  While many institutions in WV have on-line BSN programs, analysis of candidates for this transfer program shows they want a hands-on, in-class program.  Our next step is to present these two requests for approval of the Intents to Plan to the Chancellor of the HEPC; if approved, the full proposals will be developed.</w:t>
      </w:r>
    </w:p>
    <w:p w:rsidR="00536ED0" w:rsidRDefault="00536ED0" w:rsidP="00BF7B3A">
      <w:pPr>
        <w:jc w:val="both"/>
        <w:rPr>
          <w:sz w:val="22"/>
          <w:szCs w:val="22"/>
        </w:rPr>
      </w:pPr>
    </w:p>
    <w:p w:rsidR="00536ED0" w:rsidRDefault="00536ED0" w:rsidP="00BF7B3A">
      <w:pPr>
        <w:jc w:val="both"/>
        <w:rPr>
          <w:sz w:val="22"/>
          <w:szCs w:val="22"/>
        </w:rPr>
      </w:pPr>
      <w:r>
        <w:rPr>
          <w:sz w:val="22"/>
          <w:szCs w:val="22"/>
        </w:rPr>
        <w:t xml:space="preserve">The </w:t>
      </w:r>
      <w:r w:rsidRPr="00C25F81">
        <w:rPr>
          <w:b/>
          <w:sz w:val="22"/>
          <w:szCs w:val="22"/>
        </w:rPr>
        <w:t>Council of Program Coordinators</w:t>
      </w:r>
      <w:r>
        <w:rPr>
          <w:sz w:val="22"/>
          <w:szCs w:val="22"/>
        </w:rPr>
        <w:t xml:space="preserve"> ha</w:t>
      </w:r>
      <w:r w:rsidR="005879CC">
        <w:rPr>
          <w:sz w:val="22"/>
          <w:szCs w:val="22"/>
        </w:rPr>
        <w:t>s</w:t>
      </w:r>
      <w:r>
        <w:rPr>
          <w:sz w:val="22"/>
          <w:szCs w:val="22"/>
        </w:rPr>
        <w:t xml:space="preserve"> had two meetings this academic year.  This group was formerly known as Academic Leaders but has been expanded to include coordinators of programs within </w:t>
      </w:r>
      <w:r w:rsidR="002E3202">
        <w:rPr>
          <w:sz w:val="22"/>
          <w:szCs w:val="22"/>
        </w:rPr>
        <w:t xml:space="preserve">academic </w:t>
      </w:r>
      <w:r>
        <w:rPr>
          <w:sz w:val="22"/>
          <w:szCs w:val="22"/>
        </w:rPr>
        <w:t>Departments</w:t>
      </w:r>
      <w:r w:rsidR="002E3202">
        <w:rPr>
          <w:sz w:val="22"/>
          <w:szCs w:val="22"/>
        </w:rPr>
        <w:t xml:space="preserve">.  The purpose of these meetings has been to disseminate information related to how we operate under the rules and policies of the HEPC.  We have considered Series 23 (Standards and Procedures for Undergraduate </w:t>
      </w:r>
      <w:r w:rsidR="005879CC">
        <w:rPr>
          <w:sz w:val="22"/>
          <w:szCs w:val="22"/>
        </w:rPr>
        <w:t>A</w:t>
      </w:r>
      <w:r w:rsidR="002E3202">
        <w:rPr>
          <w:sz w:val="22"/>
          <w:szCs w:val="22"/>
        </w:rPr>
        <w:t xml:space="preserve">dmission) and Series 13 (Changes in Organization of Colleges and Schools) thus far this semester.  Series 23 is undergoing revision and Dr. Teeuwissen shared with the group some expected changes.  </w:t>
      </w:r>
    </w:p>
    <w:p w:rsidR="002E3202" w:rsidRDefault="002E3202" w:rsidP="00BF7B3A">
      <w:pPr>
        <w:jc w:val="both"/>
        <w:rPr>
          <w:sz w:val="22"/>
          <w:szCs w:val="22"/>
        </w:rPr>
      </w:pPr>
    </w:p>
    <w:p w:rsidR="002E3202" w:rsidRDefault="002E3202" w:rsidP="00BF7B3A">
      <w:pPr>
        <w:jc w:val="both"/>
        <w:rPr>
          <w:sz w:val="22"/>
          <w:szCs w:val="22"/>
        </w:rPr>
      </w:pPr>
    </w:p>
    <w:p w:rsidR="002E3202" w:rsidRDefault="002E3202" w:rsidP="00BF7B3A">
      <w:pPr>
        <w:jc w:val="both"/>
        <w:rPr>
          <w:sz w:val="22"/>
          <w:szCs w:val="22"/>
        </w:rPr>
        <w:sectPr w:rsidR="002E3202" w:rsidSect="00BF7B3A">
          <w:pgSz w:w="12240" w:h="15840"/>
          <w:pgMar w:top="1440" w:right="1080" w:bottom="1440" w:left="1080" w:header="720" w:footer="720" w:gutter="0"/>
          <w:cols w:space="720"/>
          <w:docGrid w:linePitch="360"/>
        </w:sectPr>
      </w:pPr>
    </w:p>
    <w:p w:rsidR="002E3202" w:rsidRDefault="002E3202" w:rsidP="00BF7B3A">
      <w:pPr>
        <w:jc w:val="both"/>
        <w:rPr>
          <w:sz w:val="22"/>
          <w:szCs w:val="22"/>
        </w:rPr>
      </w:pP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220"/>
        <w:gridCol w:w="1170"/>
        <w:gridCol w:w="1874"/>
        <w:gridCol w:w="1530"/>
      </w:tblGrid>
      <w:tr w:rsidR="002E3202" w:rsidRPr="002E3202" w:rsidTr="002E3202">
        <w:trPr>
          <w:trHeight w:val="278"/>
        </w:trPr>
        <w:tc>
          <w:tcPr>
            <w:tcW w:w="13230" w:type="dxa"/>
            <w:gridSpan w:val="5"/>
            <w:shd w:val="clear" w:color="auto" w:fill="auto"/>
            <w:noWrap/>
            <w:vAlign w:val="center"/>
            <w:hideMark/>
          </w:tcPr>
          <w:p w:rsidR="002E3202" w:rsidRPr="002E3202" w:rsidRDefault="002E3202" w:rsidP="002E3202">
            <w:pPr>
              <w:jc w:val="center"/>
              <w:rPr>
                <w:rFonts w:ascii="Calibri" w:eastAsia="Times New Roman" w:hAnsi="Calibri" w:cs="Calibri"/>
                <w:b/>
                <w:bCs/>
                <w:color w:val="000000"/>
                <w:sz w:val="20"/>
                <w:szCs w:val="20"/>
              </w:rPr>
            </w:pPr>
            <w:r w:rsidRPr="002E3202">
              <w:rPr>
                <w:rFonts w:ascii="Calibri" w:eastAsia="Times New Roman" w:hAnsi="Calibri" w:cs="Calibri"/>
                <w:b/>
                <w:bCs/>
                <w:color w:val="000000"/>
                <w:sz w:val="20"/>
                <w:szCs w:val="20"/>
              </w:rPr>
              <w:t>WEST VIRGINIA STATE UNIVERSITY</w:t>
            </w:r>
          </w:p>
        </w:tc>
      </w:tr>
      <w:tr w:rsidR="002E3202" w:rsidRPr="002E3202" w:rsidTr="002E3202">
        <w:trPr>
          <w:trHeight w:val="170"/>
        </w:trPr>
        <w:tc>
          <w:tcPr>
            <w:tcW w:w="13230" w:type="dxa"/>
            <w:gridSpan w:val="5"/>
            <w:shd w:val="clear" w:color="auto" w:fill="auto"/>
            <w:noWrap/>
            <w:vAlign w:val="center"/>
            <w:hideMark/>
          </w:tcPr>
          <w:p w:rsidR="002E3202" w:rsidRPr="002E3202" w:rsidRDefault="002E3202" w:rsidP="002E3202">
            <w:pPr>
              <w:jc w:val="center"/>
              <w:rPr>
                <w:rFonts w:ascii="Calibri" w:eastAsia="Times New Roman" w:hAnsi="Calibri" w:cs="Calibri"/>
                <w:b/>
                <w:bCs/>
                <w:color w:val="000000"/>
                <w:sz w:val="20"/>
                <w:szCs w:val="20"/>
              </w:rPr>
            </w:pPr>
            <w:r w:rsidRPr="002E3202">
              <w:rPr>
                <w:rFonts w:ascii="Calibri" w:eastAsia="Times New Roman" w:hAnsi="Calibri" w:cs="Calibri"/>
                <w:b/>
                <w:bCs/>
                <w:color w:val="000000"/>
                <w:sz w:val="20"/>
                <w:szCs w:val="20"/>
              </w:rPr>
              <w:t>2+2 AGREEMENTS</w:t>
            </w:r>
          </w:p>
        </w:tc>
      </w:tr>
      <w:tr w:rsidR="002E3202" w:rsidRPr="002E3202" w:rsidTr="002E3202">
        <w:trPr>
          <w:trHeight w:val="188"/>
        </w:trPr>
        <w:tc>
          <w:tcPr>
            <w:tcW w:w="13230" w:type="dxa"/>
            <w:gridSpan w:val="5"/>
            <w:shd w:val="clear" w:color="auto" w:fill="auto"/>
            <w:noWrap/>
            <w:vAlign w:val="center"/>
            <w:hideMark/>
          </w:tcPr>
          <w:p w:rsidR="002E3202" w:rsidRPr="002E3202" w:rsidRDefault="002E3202" w:rsidP="002E3202">
            <w:pPr>
              <w:jc w:val="center"/>
              <w:rPr>
                <w:rFonts w:ascii="Calibri" w:eastAsia="Times New Roman" w:hAnsi="Calibri" w:cs="Calibri"/>
                <w:b/>
                <w:bCs/>
                <w:color w:val="000000"/>
                <w:sz w:val="20"/>
                <w:szCs w:val="20"/>
              </w:rPr>
            </w:pPr>
            <w:r w:rsidRPr="002E3202">
              <w:rPr>
                <w:rFonts w:ascii="Calibri" w:eastAsia="Times New Roman" w:hAnsi="Calibri" w:cs="Calibri"/>
                <w:b/>
                <w:bCs/>
                <w:color w:val="000000"/>
                <w:sz w:val="20"/>
                <w:szCs w:val="20"/>
              </w:rPr>
              <w:t>AS OF 10/29/12</w:t>
            </w:r>
          </w:p>
        </w:tc>
      </w:tr>
      <w:tr w:rsidR="002E3202" w:rsidRPr="002E3202" w:rsidTr="002E3202">
        <w:trPr>
          <w:trHeight w:val="197"/>
        </w:trPr>
        <w:tc>
          <w:tcPr>
            <w:tcW w:w="3436" w:type="dxa"/>
            <w:shd w:val="clear" w:color="auto" w:fill="auto"/>
            <w:noWrap/>
            <w:vAlign w:val="center"/>
            <w:hideMark/>
          </w:tcPr>
          <w:p w:rsidR="002E3202" w:rsidRPr="002E3202" w:rsidRDefault="002E3202" w:rsidP="002E3202">
            <w:pPr>
              <w:rPr>
                <w:rFonts w:ascii="Calibri" w:eastAsia="Times New Roman" w:hAnsi="Calibri" w:cs="Calibri"/>
                <w:b/>
                <w:bCs/>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b/>
                <w:bCs/>
                <w:color w:val="000000"/>
                <w:sz w:val="20"/>
                <w:szCs w:val="20"/>
              </w:rPr>
            </w:pPr>
          </w:p>
        </w:tc>
        <w:tc>
          <w:tcPr>
            <w:tcW w:w="1170" w:type="dxa"/>
            <w:shd w:val="clear" w:color="auto" w:fill="auto"/>
            <w:noWrap/>
            <w:vAlign w:val="bottom"/>
            <w:hideMark/>
          </w:tcPr>
          <w:p w:rsidR="002E3202" w:rsidRPr="002E3202" w:rsidRDefault="002E3202" w:rsidP="002E3202">
            <w:pPr>
              <w:rPr>
                <w:rFonts w:ascii="Calibri" w:eastAsia="Times New Roman" w:hAnsi="Calibri" w:cs="Calibri"/>
                <w:b/>
                <w:bCs/>
                <w:color w:val="000000"/>
                <w:sz w:val="20"/>
                <w:szCs w:val="20"/>
              </w:rPr>
            </w:pPr>
          </w:p>
        </w:tc>
        <w:tc>
          <w:tcPr>
            <w:tcW w:w="1874" w:type="dxa"/>
            <w:shd w:val="clear" w:color="auto" w:fill="auto"/>
            <w:noWrap/>
            <w:vAlign w:val="bottom"/>
            <w:hideMark/>
          </w:tcPr>
          <w:p w:rsidR="002E3202" w:rsidRPr="002E3202" w:rsidRDefault="002E3202" w:rsidP="002E3202">
            <w:pPr>
              <w:rPr>
                <w:rFonts w:ascii="Calibri" w:eastAsia="Times New Roman" w:hAnsi="Calibri" w:cs="Calibri"/>
                <w:b/>
                <w:bCs/>
                <w:color w:val="000000"/>
                <w:sz w:val="20"/>
                <w:szCs w:val="20"/>
              </w:rPr>
            </w:pPr>
          </w:p>
        </w:tc>
        <w:tc>
          <w:tcPr>
            <w:tcW w:w="1530" w:type="dxa"/>
            <w:shd w:val="clear" w:color="auto" w:fill="auto"/>
            <w:noWrap/>
            <w:vAlign w:val="bottom"/>
            <w:hideMark/>
          </w:tcPr>
          <w:p w:rsidR="002E3202" w:rsidRPr="002E3202" w:rsidRDefault="002E3202" w:rsidP="002E3202">
            <w:pPr>
              <w:rPr>
                <w:rFonts w:ascii="Calibri" w:eastAsia="Times New Roman" w:hAnsi="Calibri" w:cs="Calibri"/>
                <w:b/>
                <w:bCs/>
                <w:color w:val="000000"/>
                <w:sz w:val="20"/>
                <w:szCs w:val="20"/>
              </w:rPr>
            </w:pPr>
          </w:p>
        </w:tc>
      </w:tr>
      <w:tr w:rsidR="002E3202" w:rsidRPr="002E3202" w:rsidTr="002E3202">
        <w:trPr>
          <w:trHeight w:val="125"/>
        </w:trPr>
        <w:tc>
          <w:tcPr>
            <w:tcW w:w="3436" w:type="dxa"/>
            <w:shd w:val="clear" w:color="auto" w:fill="auto"/>
            <w:noWrap/>
            <w:vAlign w:val="center"/>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INSTITUTION</w:t>
            </w:r>
          </w:p>
        </w:tc>
        <w:tc>
          <w:tcPr>
            <w:tcW w:w="5220" w:type="dxa"/>
            <w:shd w:val="clear" w:color="auto" w:fill="auto"/>
            <w:noWrap/>
            <w:vAlign w:val="center"/>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PROGRAM</w:t>
            </w:r>
          </w:p>
        </w:tc>
        <w:tc>
          <w:tcPr>
            <w:tcW w:w="1170" w:type="dxa"/>
            <w:shd w:val="clear" w:color="auto" w:fill="auto"/>
            <w:noWrap/>
            <w:vAlign w:val="center"/>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SIGNED</w:t>
            </w:r>
          </w:p>
        </w:tc>
        <w:tc>
          <w:tcPr>
            <w:tcW w:w="1874" w:type="dxa"/>
            <w:shd w:val="clear" w:color="auto" w:fill="auto"/>
            <w:noWrap/>
            <w:vAlign w:val="center"/>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 xml:space="preserve">IN </w:t>
            </w:r>
          </w:p>
        </w:tc>
        <w:tc>
          <w:tcPr>
            <w:tcW w:w="1530" w:type="dxa"/>
            <w:shd w:val="clear" w:color="auto" w:fill="auto"/>
            <w:noWrap/>
            <w:vAlign w:val="center"/>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UNDER</w:t>
            </w:r>
          </w:p>
        </w:tc>
      </w:tr>
      <w:tr w:rsidR="002E3202" w:rsidRPr="002E3202" w:rsidTr="002E3202">
        <w:trPr>
          <w:trHeight w:val="278"/>
        </w:trPr>
        <w:tc>
          <w:tcPr>
            <w:tcW w:w="3436"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PROGRESS</w:t>
            </w:r>
          </w:p>
        </w:tc>
        <w:tc>
          <w:tcPr>
            <w:tcW w:w="1530" w:type="dxa"/>
            <w:shd w:val="clear" w:color="auto" w:fill="auto"/>
            <w:noWrap/>
            <w:vAlign w:val="center"/>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 xml:space="preserve"> DISCUSSION</w:t>
            </w:r>
          </w:p>
        </w:tc>
      </w:tr>
      <w:tr w:rsidR="002E3202" w:rsidRPr="002E3202" w:rsidTr="002E3202">
        <w:trPr>
          <w:trHeight w:val="170"/>
        </w:trPr>
        <w:tc>
          <w:tcPr>
            <w:tcW w:w="3436"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center"/>
            <w:hideMark/>
          </w:tcPr>
          <w:p w:rsidR="002E3202" w:rsidRPr="002E3202" w:rsidRDefault="002E3202" w:rsidP="002E3202">
            <w:pPr>
              <w:jc w:val="center"/>
              <w:rPr>
                <w:rFonts w:eastAsia="Times New Roman"/>
                <w:color w:val="000000"/>
                <w:sz w:val="20"/>
                <w:szCs w:val="20"/>
              </w:rPr>
            </w:pPr>
          </w:p>
        </w:tc>
      </w:tr>
      <w:tr w:rsidR="002E3202" w:rsidRPr="002E3202" w:rsidTr="002E3202">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Kanawha Valley CTC</w:t>
            </w: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Business Areas:  Accounting,</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center"/>
            <w:hideMark/>
          </w:tcPr>
          <w:p w:rsidR="002E3202" w:rsidRPr="002E3202" w:rsidRDefault="002E3202" w:rsidP="002E3202">
            <w:pPr>
              <w:jc w:val="center"/>
              <w:rPr>
                <w:rFonts w:eastAsia="Times New Roman"/>
                <w:color w:val="000000"/>
                <w:sz w:val="20"/>
                <w:szCs w:val="20"/>
              </w:rPr>
            </w:pPr>
          </w:p>
        </w:tc>
      </w:tr>
      <w:tr w:rsidR="002E3202" w:rsidRPr="002E3202" w:rsidTr="002E3202">
        <w:trPr>
          <w:trHeight w:val="188"/>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Finance, Management, Management</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center"/>
            <w:hideMark/>
          </w:tcPr>
          <w:p w:rsidR="002E3202" w:rsidRPr="002E3202" w:rsidRDefault="002E3202" w:rsidP="002E3202">
            <w:pPr>
              <w:jc w:val="center"/>
              <w:rPr>
                <w:rFonts w:eastAsia="Times New Roman"/>
                <w:color w:val="000000"/>
                <w:sz w:val="20"/>
                <w:szCs w:val="20"/>
              </w:rPr>
            </w:pPr>
          </w:p>
        </w:tc>
      </w:tr>
      <w:tr w:rsidR="002E3202" w:rsidRPr="002E3202" w:rsidTr="002E3202">
        <w:trPr>
          <w:trHeight w:val="197"/>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Information Systems, Marketing</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2E3202">
        <w:trPr>
          <w:trHeight w:val="125"/>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2E3202">
        <w:trPr>
          <w:trHeight w:val="26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Associate in Arts in Art, English, Professional</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6390" w:type="dxa"/>
            <w:gridSpan w:val="2"/>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Writing, History, Economics (Political Economy</w:t>
            </w: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and Social Science options), Psychology</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07"/>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278"/>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Criminal Justice  (signed by WVSU, sent to</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52"/>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KVCTC to sign)</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Health Science</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25"/>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2E3202">
        <w:trPr>
          <w:trHeight w:val="30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Computer &amp; Information Technology</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215"/>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Southern</w:t>
            </w: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Business Areas:  Accounting, Finance,</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88"/>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Management, Marketing</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2E3202">
        <w:trPr>
          <w:trHeight w:val="30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(these will likely be revised, these are from</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52"/>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about 6-7 years ago)</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52"/>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88"/>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Chemistry, Biology</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r>
      <w:tr w:rsidR="002E3202" w:rsidRPr="002E3202" w:rsidTr="005879CC">
        <w:trPr>
          <w:trHeight w:val="107"/>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Several other areas resulting from October,</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r>
      <w:tr w:rsidR="002E3202" w:rsidRPr="002E3202" w:rsidTr="005879CC">
        <w:trPr>
          <w:trHeight w:val="188"/>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2012 meeting with them.</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r>
      <w:tr w:rsidR="002E3202" w:rsidRPr="002E3202" w:rsidTr="005879CC">
        <w:trPr>
          <w:trHeight w:val="107"/>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r w:rsidR="002E3202" w:rsidRPr="002E3202" w:rsidTr="005879CC">
        <w:trPr>
          <w:trHeight w:val="278"/>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3220"/>
            </w:tblGrid>
            <w:tr w:rsidR="002E3202" w:rsidRPr="002E3202" w:rsidTr="005879CC">
              <w:trPr>
                <w:trHeight w:val="80"/>
                <w:tblCellSpacing w:w="0" w:type="dxa"/>
              </w:trPr>
              <w:tc>
                <w:tcPr>
                  <w:tcW w:w="3220" w:type="dxa"/>
                  <w:tcBorders>
                    <w:top w:val="nil"/>
                    <w:left w:val="nil"/>
                    <w:bottom w:val="nil"/>
                    <w:right w:val="nil"/>
                  </w:tcBorders>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bookmarkStart w:id="0" w:name="_GoBack"/>
                  <w:bookmarkEnd w:id="0"/>
                  <w:r w:rsidRPr="002E3202">
                    <w:rPr>
                      <w:rFonts w:ascii="Calibri" w:eastAsia="Times New Roman" w:hAnsi="Calibri" w:cs="Calibri"/>
                      <w:color w:val="000000"/>
                      <w:sz w:val="20"/>
                      <w:szCs w:val="20"/>
                    </w:rPr>
                    <w:t>Bridgemont</w:t>
                  </w:r>
                </w:p>
              </w:tc>
            </w:tr>
          </w:tbl>
          <w:p w:rsidR="002E3202" w:rsidRPr="002E3202" w:rsidRDefault="002E3202" w:rsidP="002E3202">
            <w:pPr>
              <w:rPr>
                <w:rFonts w:ascii="Calibri" w:eastAsia="Times New Roman" w:hAnsi="Calibri" w:cs="Calibri"/>
                <w:color w:val="000000"/>
                <w:sz w:val="20"/>
                <w:szCs w:val="20"/>
              </w:rPr>
            </w:pPr>
          </w:p>
        </w:tc>
        <w:tc>
          <w:tcPr>
            <w:tcW w:w="5220"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 xml:space="preserve">Several areas discussed at October, 2012 </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r w:rsidRPr="002E3202">
              <w:rPr>
                <w:rFonts w:ascii="Calibri" w:eastAsia="Times New Roman" w:hAnsi="Calibri" w:cs="Calibri"/>
                <w:color w:val="000000"/>
                <w:sz w:val="20"/>
                <w:szCs w:val="20"/>
              </w:rPr>
              <w:t>X</w:t>
            </w:r>
          </w:p>
        </w:tc>
      </w:tr>
      <w:tr w:rsidR="002E3202" w:rsidRPr="002E3202" w:rsidTr="005879CC">
        <w:trPr>
          <w:trHeight w:val="170"/>
        </w:trPr>
        <w:tc>
          <w:tcPr>
            <w:tcW w:w="3436" w:type="dxa"/>
            <w:shd w:val="clear" w:color="auto" w:fill="auto"/>
            <w:noWrap/>
            <w:vAlign w:val="bottom"/>
            <w:hideMark/>
          </w:tcPr>
          <w:p w:rsidR="002E3202" w:rsidRPr="002E3202" w:rsidRDefault="002E3202" w:rsidP="002E3202">
            <w:pPr>
              <w:rPr>
                <w:rFonts w:ascii="Calibri" w:eastAsia="Times New Roman" w:hAnsi="Calibri" w:cs="Calibri"/>
                <w:color w:val="000000"/>
                <w:sz w:val="20"/>
                <w:szCs w:val="20"/>
              </w:rPr>
            </w:pPr>
            <w:r w:rsidRPr="002E3202">
              <w:rPr>
                <w:rFonts w:ascii="Calibri" w:eastAsia="Times New Roman" w:hAnsi="Calibri" w:cs="Calibri"/>
                <w:color w:val="000000"/>
                <w:sz w:val="20"/>
                <w:szCs w:val="20"/>
              </w:rPr>
              <w:t>Mountwest</w:t>
            </w:r>
          </w:p>
        </w:tc>
        <w:tc>
          <w:tcPr>
            <w:tcW w:w="5220" w:type="dxa"/>
            <w:shd w:val="clear" w:color="auto" w:fill="auto"/>
            <w:noWrap/>
            <w:vAlign w:val="bottom"/>
            <w:hideMark/>
          </w:tcPr>
          <w:p w:rsidR="002E3202" w:rsidRPr="002E3202" w:rsidRDefault="00C25F81" w:rsidP="00C25F81">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October 31, 2012 </w:t>
            </w:r>
            <w:r w:rsidR="002E3202" w:rsidRPr="002E3202">
              <w:rPr>
                <w:rFonts w:ascii="Calibri" w:eastAsia="Times New Roman" w:hAnsi="Calibri" w:cs="Calibri"/>
                <w:color w:val="000000"/>
                <w:sz w:val="20"/>
                <w:szCs w:val="20"/>
              </w:rPr>
              <w:t xml:space="preserve">meeting </w:t>
            </w:r>
            <w:r>
              <w:rPr>
                <w:rFonts w:ascii="Calibri" w:eastAsia="Times New Roman" w:hAnsi="Calibri" w:cs="Calibri"/>
                <w:color w:val="000000"/>
                <w:sz w:val="20"/>
                <w:szCs w:val="20"/>
              </w:rPr>
              <w:t>was postponed due to the weather condition in Huntington</w:t>
            </w:r>
          </w:p>
        </w:tc>
        <w:tc>
          <w:tcPr>
            <w:tcW w:w="117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874"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c>
          <w:tcPr>
            <w:tcW w:w="1530" w:type="dxa"/>
            <w:shd w:val="clear" w:color="auto" w:fill="auto"/>
            <w:noWrap/>
            <w:vAlign w:val="bottom"/>
            <w:hideMark/>
          </w:tcPr>
          <w:p w:rsidR="002E3202" w:rsidRPr="002E3202" w:rsidRDefault="002E3202" w:rsidP="002E3202">
            <w:pPr>
              <w:jc w:val="center"/>
              <w:rPr>
                <w:rFonts w:ascii="Calibri" w:eastAsia="Times New Roman" w:hAnsi="Calibri" w:cs="Calibri"/>
                <w:color w:val="000000"/>
                <w:sz w:val="20"/>
                <w:szCs w:val="20"/>
              </w:rPr>
            </w:pPr>
          </w:p>
        </w:tc>
      </w:tr>
    </w:tbl>
    <w:p w:rsidR="002E3202" w:rsidRDefault="002E3202" w:rsidP="00BF7B3A">
      <w:pPr>
        <w:jc w:val="both"/>
        <w:rPr>
          <w:sz w:val="22"/>
          <w:szCs w:val="22"/>
        </w:rPr>
      </w:pPr>
    </w:p>
    <w:p w:rsidR="0033690B" w:rsidRPr="0033690B" w:rsidRDefault="0033690B" w:rsidP="00BF7B3A">
      <w:pPr>
        <w:jc w:val="both"/>
        <w:rPr>
          <w:sz w:val="22"/>
          <w:szCs w:val="22"/>
        </w:rPr>
      </w:pPr>
    </w:p>
    <w:p w:rsidR="007A3A7F" w:rsidRPr="0033690B" w:rsidRDefault="007A3A7F">
      <w:pPr>
        <w:rPr>
          <w:sz w:val="22"/>
          <w:szCs w:val="22"/>
        </w:rPr>
      </w:pPr>
    </w:p>
    <w:sectPr w:rsidR="007A3A7F" w:rsidRPr="0033690B" w:rsidSect="002E3202">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3A"/>
    <w:rsid w:val="00085658"/>
    <w:rsid w:val="00086176"/>
    <w:rsid w:val="00114CF3"/>
    <w:rsid w:val="002E3202"/>
    <w:rsid w:val="0033690B"/>
    <w:rsid w:val="00352A1C"/>
    <w:rsid w:val="0043358C"/>
    <w:rsid w:val="00536ED0"/>
    <w:rsid w:val="005879CC"/>
    <w:rsid w:val="007A3A7F"/>
    <w:rsid w:val="00BF7B3A"/>
    <w:rsid w:val="00C25F81"/>
    <w:rsid w:val="00C8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B3A"/>
    <w:pPr>
      <w:pBdr>
        <w:bottom w:val="single" w:sz="8" w:space="4" w:color="4F81BD" w:themeColor="accent1"/>
      </w:pBdr>
      <w:spacing w:after="300"/>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BF7B3A"/>
    <w:rPr>
      <w:rFonts w:asciiTheme="majorHAnsi" w:eastAsiaTheme="majorEastAsia" w:hAnsiTheme="majorHAnsi" w:cstheme="majorBidi"/>
      <w:b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6176"/>
    <w:rPr>
      <w:rFonts w:ascii="Tahoma" w:hAnsi="Tahoma" w:cs="Tahoma"/>
      <w:sz w:val="16"/>
      <w:szCs w:val="16"/>
    </w:rPr>
  </w:style>
  <w:style w:type="character" w:customStyle="1" w:styleId="BalloonTextChar">
    <w:name w:val="Balloon Text Char"/>
    <w:basedOn w:val="DefaultParagraphFont"/>
    <w:link w:val="BalloonText"/>
    <w:uiPriority w:val="99"/>
    <w:semiHidden/>
    <w:rsid w:val="00086176"/>
    <w:rPr>
      <w:rFonts w:ascii="Tahoma" w:hAnsi="Tahoma" w:cs="Tahoma"/>
      <w:sz w:val="16"/>
      <w:szCs w:val="16"/>
    </w:rPr>
  </w:style>
  <w:style w:type="character" w:styleId="SubtleEmphasis">
    <w:name w:val="Subtle Emphasis"/>
    <w:basedOn w:val="DefaultParagraphFont"/>
    <w:uiPriority w:val="19"/>
    <w:qFormat/>
    <w:rsid w:val="00C25F81"/>
    <w:rPr>
      <w:i/>
      <w:iCs/>
      <w:color w:val="808080" w:themeColor="text1" w:themeTint="7F"/>
    </w:rPr>
  </w:style>
  <w:style w:type="character" w:styleId="Emphasis">
    <w:name w:val="Emphasis"/>
    <w:basedOn w:val="DefaultParagraphFont"/>
    <w:uiPriority w:val="20"/>
    <w:qFormat/>
    <w:rsid w:val="00C25F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B3A"/>
    <w:pPr>
      <w:pBdr>
        <w:bottom w:val="single" w:sz="8" w:space="4" w:color="4F81BD" w:themeColor="accent1"/>
      </w:pBdr>
      <w:spacing w:after="300"/>
      <w:contextualSpacing/>
    </w:pPr>
    <w:rPr>
      <w:rFonts w:asciiTheme="majorHAnsi" w:eastAsiaTheme="majorEastAsia" w:hAnsiTheme="majorHAnsi" w:cstheme="majorBidi"/>
      <w:bCs/>
      <w:color w:val="17365D" w:themeColor="text2" w:themeShade="BF"/>
      <w:spacing w:val="5"/>
      <w:kern w:val="28"/>
      <w:sz w:val="52"/>
      <w:szCs w:val="52"/>
    </w:rPr>
  </w:style>
  <w:style w:type="character" w:customStyle="1" w:styleId="TitleChar">
    <w:name w:val="Title Char"/>
    <w:basedOn w:val="DefaultParagraphFont"/>
    <w:link w:val="Title"/>
    <w:uiPriority w:val="10"/>
    <w:rsid w:val="00BF7B3A"/>
    <w:rPr>
      <w:rFonts w:asciiTheme="majorHAnsi" w:eastAsiaTheme="majorEastAsia" w:hAnsiTheme="majorHAnsi" w:cstheme="majorBidi"/>
      <w:bCs/>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6176"/>
    <w:rPr>
      <w:rFonts w:ascii="Tahoma" w:hAnsi="Tahoma" w:cs="Tahoma"/>
      <w:sz w:val="16"/>
      <w:szCs w:val="16"/>
    </w:rPr>
  </w:style>
  <w:style w:type="character" w:customStyle="1" w:styleId="BalloonTextChar">
    <w:name w:val="Balloon Text Char"/>
    <w:basedOn w:val="DefaultParagraphFont"/>
    <w:link w:val="BalloonText"/>
    <w:uiPriority w:val="99"/>
    <w:semiHidden/>
    <w:rsid w:val="00086176"/>
    <w:rPr>
      <w:rFonts w:ascii="Tahoma" w:hAnsi="Tahoma" w:cs="Tahoma"/>
      <w:sz w:val="16"/>
      <w:szCs w:val="16"/>
    </w:rPr>
  </w:style>
  <w:style w:type="character" w:styleId="SubtleEmphasis">
    <w:name w:val="Subtle Emphasis"/>
    <w:basedOn w:val="DefaultParagraphFont"/>
    <w:uiPriority w:val="19"/>
    <w:qFormat/>
    <w:rsid w:val="00C25F81"/>
    <w:rPr>
      <w:i/>
      <w:iCs/>
      <w:color w:val="808080" w:themeColor="text1" w:themeTint="7F"/>
    </w:rPr>
  </w:style>
  <w:style w:type="character" w:styleId="Emphasis">
    <w:name w:val="Emphasis"/>
    <w:basedOn w:val="DefaultParagraphFont"/>
    <w:uiPriority w:val="20"/>
    <w:qFormat/>
    <w:rsid w:val="00C25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5722">
      <w:bodyDiv w:val="1"/>
      <w:marLeft w:val="0"/>
      <w:marRight w:val="0"/>
      <w:marTop w:val="0"/>
      <w:marBottom w:val="0"/>
      <w:divBdr>
        <w:top w:val="none" w:sz="0" w:space="0" w:color="auto"/>
        <w:left w:val="none" w:sz="0" w:space="0" w:color="auto"/>
        <w:bottom w:val="none" w:sz="0" w:space="0" w:color="auto"/>
        <w:right w:val="none" w:sz="0" w:space="0" w:color="auto"/>
      </w:divBdr>
    </w:div>
    <w:div w:id="14754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Charles Byers</cp:lastModifiedBy>
  <cp:revision>3</cp:revision>
  <cp:lastPrinted>2012-10-31T22:20:00Z</cp:lastPrinted>
  <dcterms:created xsi:type="dcterms:W3CDTF">2012-10-31T22:19:00Z</dcterms:created>
  <dcterms:modified xsi:type="dcterms:W3CDTF">2012-10-31T22:25:00Z</dcterms:modified>
</cp:coreProperties>
</file>